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tbl>
      <w:tblPr>
        <w:tblW w:w="9840" w:type="dxa"/>
        <w:tblLayout w:type="fixed"/>
        <w:tblBorders>
          <w:top w:val="nil"/>
          <w:bottom w:val="nil"/>
          <w:left w:val="nil"/>
          <w:right w:val="nil"/>
          <w:insideH w:val="nil"/>
          <w:insideV w:val="nil"/>
        </w:tblBorders>
      </w:tblPr>
      <w:tblGrid>
        <w:gridCol w:w="1000"/>
        <w:gridCol w:w="2600"/>
        <w:gridCol w:w="6240"/>
      </w:tblGrid>
      <w:tr>
        <w:trPr>
          <w:cantSplit/>
        </w:trPr>
        <w:tc>
          <w:tcPr>
            <w:tcW w:w="1000" w:type="dxa"/>
            <w:tcBorders>
              <w:top w:val="nil" w:sz="6" w:color="E2DCE8"/>
              <w:bottom w:val="single" w:sz="14" w:color="1B1949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aps/>
                <w:color w:val="1B1949"/>
                <w:sz w:val="15"/>
                <w:spacing w:val="22"/>
              </w:rPr>
              <w:t xml:space="preserve">Stage</w:t>
            </w:r>
          </w:p>
        </w:tc>
        <w:tc>
          <w:tcPr>
            <w:tcW w:w="2600" w:type="dxa"/>
            <w:tcBorders>
              <w:top w:val="nil" w:sz="6" w:color="E2DCE8"/>
              <w:bottom w:val="single" w:sz="14" w:color="1B1949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aps/>
                <w:color w:val="1B1949"/>
                <w:sz w:val="15"/>
                <w:spacing w:val="22"/>
              </w:rPr>
              <w:t xml:space="preserve">Name</w:t>
            </w:r>
          </w:p>
        </w:tc>
        <w:tc>
          <w:tcPr>
            <w:tcW w:w="6240" w:type="dxa"/>
            <w:tcBorders>
              <w:top w:val="nil" w:sz="6" w:color="E2DCE8"/>
              <w:bottom w:val="single" w:sz="14" w:color="1B1949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aps/>
                <w:color w:val="870C71"/>
                <w:sz w:val="15"/>
                <w:spacing w:val="22"/>
              </w:rPr>
              <w:t xml:space="preserve">What happens</w:t>
            </w:r>
          </w:p>
        </w:tc>
      </w:tr>
      <w:tr>
        <w:trPr>
          <w:cantSplit/>
        </w:trPr>
        <w:tc>
          <w:tcPr>
            <w:tcW w:w="10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01</w:t>
            </w:r>
          </w:p>
        </w:tc>
        <w:tc>
          <w:tcPr>
            <w:tcW w:w="2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Capture at source</w:t>
            </w:r>
          </w:p>
        </w:tc>
        <w:tc>
          <w:tcPr>
            <w:tcW w:w="62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Web portal, toll-free line, walk-in desk and email all write into one intake schema. The officer types once; nothing is re-keyed later.</w:t>
            </w:r>
          </w:p>
        </w:tc>
      </w:tr>
      <w:tr>
        <w:trPr>
          <w:cantSplit/>
        </w:trPr>
        <w:tc>
          <w:tcPr>
            <w:tcW w:w="10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02</w:t>
            </w:r>
          </w:p>
        </w:tc>
        <w:tc>
          <w:tcPr>
            <w:tcW w:w="2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Anchor to CRB</w:t>
            </w:r>
          </w:p>
        </w:tc>
        <w:tc>
          <w:tcPr>
            <w:tcW w:w="62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Every record binds to the Police CRB reference — the one identifier shared across the justice chain. A tracking code returns to the citizen.</w:t>
            </w:r>
          </w:p>
        </w:tc>
      </w:tr>
      <w:tr>
        <w:trPr>
          <w:cantSplit/>
        </w:trPr>
        <w:tc>
          <w:tcPr>
            <w:tcW w:w="10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03</w:t>
            </w:r>
          </w:p>
        </w:tc>
        <w:tc>
          <w:tcPr>
            <w:tcW w:w="2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Digitise the docket</w:t>
            </w:r>
          </w:p>
        </w:tc>
        <w:tc>
          <w:tcPr>
            <w:tcW w:w="62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Charge sheets, Police Form 3 and perusal minutes are scanned into an asynchronous queue. OCR indexes names, charges and references for full-text search.</w:t>
            </w:r>
          </w:p>
        </w:tc>
      </w:tr>
      <w:tr>
        <w:trPr>
          <w:cantSplit/>
        </w:trPr>
        <w:tc>
          <w:tcPr>
            <w:tcW w:w="10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04</w:t>
            </w:r>
          </w:p>
        </w:tc>
        <w:tc>
          <w:tcPr>
            <w:tcW w:w="2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Route by rule</w:t>
            </w:r>
          </w:p>
        </w:tc>
        <w:tc>
          <w:tcPr>
            <w:tcW w:w="62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Conduct complaints bypass the station to HQ Inspections. Process complaints go to the Resident State Attorney. Routing is code, not discretion.</w:t>
            </w:r>
          </w:p>
        </w:tc>
      </w:tr>
      <w:tr>
        <w:trPr>
          <w:cantSplit/>
        </w:trPr>
        <w:tc>
          <w:tcPr>
            <w:tcW w:w="10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05</w:t>
            </w:r>
          </w:p>
        </w:tc>
        <w:tc>
          <w:tcPr>
            <w:tcW w:w="2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Run the clock</w:t>
            </w:r>
          </w:p>
        </w:tc>
        <w:tc>
          <w:tcPr>
            <w:tcW w:w="62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Background monitors watch every open file. On expiry of the 7-day window the matter escalates itself — no reminder letter required.</w:t>
            </w:r>
          </w:p>
        </w:tc>
      </w:tr>
      <w:tr>
        <w:trPr>
          <w:cantSplit/>
        </w:trPr>
        <w:tc>
          <w:tcPr>
            <w:tcW w:w="10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06</w:t>
            </w:r>
          </w:p>
        </w:tc>
        <w:tc>
          <w:tcPr>
            <w:tcW w:w="2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Seal the trail</w:t>
            </w:r>
          </w:p>
        </w:tc>
        <w:tc>
          <w:tcPr>
            <w:tcW w:w="62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Every movement and directive is appended to a chained ledger. Records are never edited or deleted — a correction is a new entry.</w:t>
            </w:r>
          </w:p>
        </w:tc>
      </w:tr>
    </w:tbl>
    <w:tbl>
      <w:tblPr>
        <w:tblW w:w="9840" w:type="dxa"/>
        <w:tblLayout w:type="fixed"/>
        <w:tblBorders>
          <w:top w:val="nil"/>
          <w:bottom w:val="nil"/>
          <w:left w:val="nil"/>
          <w:right w:val="nil"/>
          <w:insideH w:val="nil"/>
          <w:insideV w:val="nil"/>
        </w:tblBorders>
      </w:tblPr>
      <w:tblGrid>
        <w:gridCol w:w="1900"/>
        <w:gridCol w:w="3970"/>
        <w:gridCol w:w="3970"/>
      </w:tblGrid>
      <w:tr>
        <w:trPr>
          <w:cantSplit/>
        </w:trPr>
        <w:tc>
          <w:tcPr>
            <w:tcW w:w="1900" w:type="dxa"/>
            <w:tcBorders>
              <w:top w:val="nil" w:sz="6" w:color="E2DCE8"/>
              <w:bottom w:val="single" w:sz="14" w:color="1B1949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aps/>
                <w:color w:val="1B1949"/>
                <w:sz w:val="15"/>
                <w:spacing w:val="22"/>
              </w:rPr>
              <w:t xml:space="preserve">Moment</w:t>
            </w:r>
          </w:p>
        </w:tc>
        <w:tc>
          <w:tcPr>
            <w:tcW w:w="3970" w:type="dxa"/>
            <w:tcBorders>
              <w:top w:val="nil" w:sz="6" w:color="E2DCE8"/>
              <w:bottom w:val="single" w:sz="14" w:color="1B1949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aps/>
                <w:color w:val="1B1949"/>
                <w:sz w:val="15"/>
                <w:spacing w:val="22"/>
              </w:rPr>
              <w:t xml:space="preserve">Today, on paper</w:t>
            </w:r>
          </w:p>
        </w:tc>
        <w:tc>
          <w:tcPr>
            <w:tcW w:w="3970" w:type="dxa"/>
            <w:tcBorders>
              <w:top w:val="nil" w:sz="6" w:color="E2DCE8"/>
              <w:bottom w:val="single" w:sz="14" w:color="1B1949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aps/>
                <w:color w:val="870C71"/>
                <w:sz w:val="15"/>
                <w:spacing w:val="22"/>
              </w:rPr>
              <w:t xml:space="preserve">Digitised</w:t>
            </w:r>
          </w:p>
        </w:tc>
      </w:tr>
      <w:tr>
        <w:trPr>
          <w:cantSplit/>
        </w:trPr>
        <w:tc>
          <w:tcPr>
            <w:tcW w:w="19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Lodgement</w:t>
            </w:r>
          </w:p>
        </w:tc>
        <w:tc>
          <w:tcPr>
            <w:tcW w:w="397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6B6070"/>
                <w:sz w:val="18"/>
              </w:rPr>
              <w:t xml:space="preserve">Handwritten letter received at the desk; no acknowledgement issued</w:t>
            </w:r>
          </w:p>
        </w:tc>
        <w:tc>
          <w:tcPr>
            <w:tcW w:w="397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1B1949"/>
                <w:sz w:val="18"/>
              </w:rPr>
              <w:t xml:space="preserve">Structured record created; tracking code issued immediately</w:t>
            </w:r>
          </w:p>
        </w:tc>
      </w:tr>
      <w:tr>
        <w:trPr>
          <w:cantSplit/>
        </w:trPr>
        <w:tc>
          <w:tcPr>
            <w:tcW w:w="19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Assignment</w:t>
            </w:r>
          </w:p>
        </w:tc>
        <w:tc>
          <w:tcPr>
            <w:tcW w:w="397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6B6070"/>
                <w:sz w:val="18"/>
              </w:rPr>
              <w:t xml:space="preserve">File walked to whoever is available; conduct cases can reach the subject officer</w:t>
            </w:r>
          </w:p>
        </w:tc>
        <w:tc>
          <w:tcPr>
            <w:tcW w:w="397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1B1949"/>
                <w:sz w:val="18"/>
              </w:rPr>
              <w:t xml:space="preserve">Rule-based routing with conflict-of-interest lock at the data layer</w:t>
            </w:r>
          </w:p>
        </w:tc>
      </w:tr>
      <w:tr>
        <w:trPr>
          <w:cantSplit/>
        </w:trPr>
        <w:tc>
          <w:tcPr>
            <w:tcW w:w="19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Custody</w:t>
            </w:r>
          </w:p>
        </w:tc>
        <w:tc>
          <w:tcPr>
            <w:tcW w:w="397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6B6070"/>
                <w:sz w:val="18"/>
              </w:rPr>
              <w:t xml:space="preserve">No record of who holds the docket or since when</w:t>
            </w:r>
          </w:p>
        </w:tc>
        <w:tc>
          <w:tcPr>
            <w:tcW w:w="397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1B1949"/>
                <w:sz w:val="18"/>
              </w:rPr>
              <w:t xml:space="preserve">Named custodian and timestamp on every hand-off</w:t>
            </w:r>
          </w:p>
        </w:tc>
      </w:tr>
      <w:tr>
        <w:trPr>
          <w:cantSplit/>
        </w:trPr>
        <w:tc>
          <w:tcPr>
            <w:tcW w:w="19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Delay</w:t>
            </w:r>
          </w:p>
        </w:tc>
        <w:tc>
          <w:tcPr>
            <w:tcW w:w="397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6B6070"/>
                <w:sz w:val="18"/>
              </w:rPr>
              <w:t xml:space="preserve">Invisible; a file can rest indefinitely without breaching a visible rule</w:t>
            </w:r>
          </w:p>
        </w:tc>
        <w:tc>
          <w:tcPr>
            <w:tcW w:w="397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1B1949"/>
                <w:sz w:val="18"/>
              </w:rPr>
              <w:t xml:space="preserve">SLA breach auto-escalates and appears on the HQ dashboard</w:t>
            </w:r>
          </w:p>
        </w:tc>
      </w:tr>
      <w:tr>
        <w:trPr>
          <w:cantSplit/>
        </w:trPr>
        <w:tc>
          <w:tcPr>
            <w:tcW w:w="19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Retrieval</w:t>
            </w:r>
          </w:p>
        </w:tc>
        <w:tc>
          <w:tcPr>
            <w:tcW w:w="397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6B6070"/>
                <w:sz w:val="18"/>
              </w:rPr>
              <w:t xml:space="preserve">Manual search of shelves by registry staff</w:t>
            </w:r>
          </w:p>
        </w:tc>
        <w:tc>
          <w:tcPr>
            <w:tcW w:w="397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1B1949"/>
                <w:sz w:val="18"/>
              </w:rPr>
              <w:t xml:space="preserve">Full-text search by CRB, name or charge</w:t>
            </w:r>
          </w:p>
        </w:tc>
      </w:tr>
      <w:tr>
        <w:trPr>
          <w:cantSplit/>
        </w:trPr>
        <w:tc>
          <w:tcPr>
            <w:tcW w:w="19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Citizen update</w:t>
            </w:r>
          </w:p>
        </w:tc>
        <w:tc>
          <w:tcPr>
            <w:tcW w:w="397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6B6070"/>
                <w:sz w:val="18"/>
              </w:rPr>
              <w:t xml:space="preserve">Repeat visits to the Directorate to ask where the file is</w:t>
            </w:r>
          </w:p>
        </w:tc>
        <w:tc>
          <w:tcPr>
            <w:tcW w:w="397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1B1949"/>
                <w:sz w:val="18"/>
              </w:rPr>
              <w:t xml:space="preserve">Status checkable by tracking code, no account needed</w:t>
            </w:r>
          </w:p>
        </w:tc>
      </w:tr>
      <w:tr>
        <w:trPr>
          <w:cantSplit/>
        </w:trPr>
        <w:tc>
          <w:tcPr>
            <w:tcW w:w="19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Audit</w:t>
            </w:r>
          </w:p>
        </w:tc>
        <w:tc>
          <w:tcPr>
            <w:tcW w:w="397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6B6070"/>
                <w:sz w:val="18"/>
              </w:rPr>
              <w:t xml:space="preserve">Reconstructed from memory and loose correspondence</w:t>
            </w:r>
          </w:p>
        </w:tc>
        <w:tc>
          <w:tcPr>
            <w:tcW w:w="397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1B1949"/>
                <w:sz w:val="18"/>
              </w:rPr>
              <w:t xml:space="preserve">Chained ledger reconstructs any complaint years later</w:t>
            </w:r>
          </w:p>
        </w:tc>
      </w:tr>
    </w:tbl>
    <w:tbl>
      <w:tblPr>
        <w:tblW w:w="9840" w:type="dxa"/>
        <w:tblLayout w:type="fixed"/>
        <w:tblBorders>
          <w:top w:val="nil"/>
          <w:bottom w:val="nil"/>
          <w:left w:val="nil"/>
          <w:right w:val="nil"/>
          <w:insideH w:val="nil"/>
          <w:insideV w:val="nil"/>
        </w:tblBorders>
      </w:tblPr>
      <w:tblGrid>
        <w:gridCol w:w="2600"/>
        <w:gridCol w:w="7240"/>
      </w:tblGrid>
      <w:tr>
        <w:trPr>
          <w:cantSplit/>
        </w:trPr>
        <w:tc>
          <w:tcPr>
            <w:tcW w:w="2600" w:type="dxa"/>
            <w:tcBorders>
              <w:top w:val="nil" w:sz="6" w:color="E2DCE8"/>
              <w:bottom w:val="single" w:sz="14" w:color="1B1949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aps/>
                <w:color w:val="1B1949"/>
                <w:sz w:val="15"/>
                <w:spacing w:val="22"/>
              </w:rPr>
              <w:t xml:space="preserve">Role</w:t>
            </w:r>
          </w:p>
        </w:tc>
        <w:tc>
          <w:tcPr>
            <w:tcW w:w="7240" w:type="dxa"/>
            <w:tcBorders>
              <w:top w:val="nil" w:sz="6" w:color="E2DCE8"/>
              <w:bottom w:val="single" w:sz="14" w:color="1B1949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aps/>
                <w:color w:val="870C71"/>
                <w:sz w:val="15"/>
                <w:spacing w:val="22"/>
              </w:rPr>
              <w:t xml:space="preserve">Responsibility in the digitised process</w:t>
            </w:r>
          </w:p>
        </w:tc>
      </w:tr>
      <w:tr>
        <w:trPr>
          <w:cantSplit/>
        </w:trPr>
        <w:tc>
          <w:tcPr>
            <w:tcW w:w="2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Intake officer</w:t>
            </w:r>
          </w:p>
        </w:tc>
        <w:tc>
          <w:tcPr>
            <w:tcW w:w="72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Captures the complaint and resolves the CRB reference against the station ledger</w:t>
            </w:r>
          </w:p>
        </w:tc>
      </w:tr>
      <w:tr>
        <w:trPr>
          <w:cantSplit/>
        </w:trPr>
        <w:tc>
          <w:tcPr>
            <w:tcW w:w="2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Resident State Attorney</w:t>
            </w:r>
          </w:p>
        </w:tc>
        <w:tc>
          <w:tcPr>
            <w:tcW w:w="72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Re-examines the docket on process complaints and records the perusal minute</w:t>
            </w:r>
          </w:p>
        </w:tc>
      </w:tr>
      <w:tr>
        <w:trPr>
          <w:cantSplit/>
        </w:trPr>
        <w:tc>
          <w:tcPr>
            <w:tcW w:w="2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Regional Officer</w:t>
            </w:r>
          </w:p>
        </w:tc>
        <w:tc>
          <w:tcPr>
            <w:tcW w:w="72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Issues directives on escalated matters; sees every SLA clock in the region</w:t>
            </w:r>
          </w:p>
        </w:tc>
      </w:tr>
      <w:tr>
        <w:trPr>
          <w:cantSplit/>
        </w:trPr>
        <w:tc>
          <w:tcPr>
            <w:tcW w:w="2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HQ Inspections</w:t>
            </w:r>
          </w:p>
        </w:tc>
        <w:tc>
          <w:tcPr>
            <w:tcW w:w="72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Owns all conduct complaints from intake, insulated from the subject officer</w:t>
            </w:r>
          </w:p>
        </w:tc>
      </w:tr>
      <w:tr>
        <w:trPr>
          <w:cantSplit/>
        </w:trPr>
        <w:tc>
          <w:tcPr>
            <w:tcW w:w="2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DPP Executive Office</w:t>
            </w:r>
          </w:p>
        </w:tc>
        <w:tc>
          <w:tcPr>
            <w:tcW w:w="72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Issues File Recall Orders and binding directives, permanently attributed</w:t>
            </w:r>
          </w:p>
        </w:tc>
      </w:tr>
    </w:tbl>
    <w:tbl>
      <w:tblPr>
        <w:tblW w:w="9840" w:type="dxa"/>
        <w:tblLayout w:type="fixed"/>
        <w:tblBorders>
          <w:top w:val="nil"/>
          <w:bottom w:val="nil"/>
          <w:left w:val="nil"/>
          <w:right w:val="nil"/>
          <w:insideH w:val="nil"/>
          <w:insideV w:val="nil"/>
        </w:tblBorders>
      </w:tblPr>
      <w:tblGrid>
        <w:gridCol w:w="1700"/>
        <w:gridCol w:w="1400"/>
        <w:gridCol w:w="3400"/>
        <w:gridCol w:w="3340"/>
      </w:tblGrid>
      <w:tr>
        <w:trPr>
          <w:cantSplit/>
        </w:trPr>
        <w:tc>
          <w:tcPr>
            <w:tcW w:w="1700" w:type="dxa"/>
            <w:tcBorders>
              <w:top w:val="nil" w:sz="6" w:color="E2DCE8"/>
              <w:bottom w:val="single" w:sz="14" w:color="1B1949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aps/>
                <w:color w:val="1B1949"/>
                <w:sz w:val="15"/>
                <w:spacing w:val="22"/>
              </w:rPr>
              <w:t xml:space="preserve">Pass</w:t>
            </w:r>
          </w:p>
        </w:tc>
        <w:tc>
          <w:tcPr>
            <w:tcW w:w="1400" w:type="dxa"/>
            <w:tcBorders>
              <w:top w:val="nil" w:sz="6" w:color="E2DCE8"/>
              <w:bottom w:val="single" w:sz="14" w:color="1B1949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aps/>
                <w:color w:val="1B1949"/>
                <w:sz w:val="15"/>
                <w:spacing w:val="22"/>
              </w:rPr>
              <w:t xml:space="preserve">Window</w:t>
            </w:r>
          </w:p>
        </w:tc>
        <w:tc>
          <w:tcPr>
            <w:tcW w:w="3400" w:type="dxa"/>
            <w:tcBorders>
              <w:top w:val="nil" w:sz="6" w:color="E2DCE8"/>
              <w:bottom w:val="single" w:sz="14" w:color="1B1949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aps/>
                <w:color w:val="1B1949"/>
                <w:sz w:val="15"/>
                <w:spacing w:val="22"/>
              </w:rPr>
              <w:t xml:space="preserve">Method</w:t>
            </w:r>
          </w:p>
        </w:tc>
        <w:tc>
          <w:tcPr>
            <w:tcW w:w="3340" w:type="dxa"/>
            <w:tcBorders>
              <w:top w:val="nil" w:sz="6" w:color="E2DCE8"/>
              <w:bottom w:val="single" w:sz="14" w:color="1B1949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aps/>
                <w:color w:val="870C71"/>
                <w:sz w:val="15"/>
                <w:spacing w:val="22"/>
              </w:rPr>
              <w:t xml:space="preserve">Artefact left behind</w:t>
            </w:r>
          </w:p>
        </w:tc>
      </w:tr>
      <w:tr>
        <w:trPr>
          <w:cantSplit/>
        </w:trPr>
        <w:tc>
          <w:tcPr>
            <w:tcW w:w="17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One · Observe</w:t>
            </w:r>
          </w:p>
        </w:tc>
        <w:tc>
          <w:tcPr>
            <w:tcW w:w="14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Days 1–3</w:t>
            </w:r>
          </w:p>
        </w:tc>
        <w:tc>
          <w:tcPr>
            <w:tcW w:w="34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We trace one real complaint end to end with the SPOC — where it is written, who carries it, what is stamped, where it waits. No design begins until the paper path is drawn as it actually is.</w:t>
            </w:r>
          </w:p>
        </w:tc>
        <w:tc>
          <w:tcPr>
            <w:tcW w:w="33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Scope Alignment Document · Data Flow Diagram · Domain Field Dictionary</w:t>
            </w:r>
          </w:p>
        </w:tc>
      </w:tr>
      <w:tr>
        <w:trPr>
          <w:cantSplit/>
        </w:trPr>
        <w:tc>
          <w:tcPr>
            <w:tcW w:w="17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Two · Model</w:t>
            </w:r>
          </w:p>
        </w:tc>
        <w:tc>
          <w:tcPr>
            <w:tcW w:w="14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Days 4–8</w:t>
            </w:r>
          </w:p>
        </w:tc>
        <w:tc>
          <w:tcPr>
            <w:tcW w:w="34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The paper path becomes a data model anchored on the CRB number; the escalation hierarchy becomes an explicit state machine writing to the ledger.</w:t>
            </w:r>
          </w:p>
        </w:tc>
        <w:tc>
          <w:tcPr>
            <w:tcW w:w="33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CRB-anchored schema · Escalation state machine · Audit ledger</w:t>
            </w:r>
          </w:p>
        </w:tc>
      </w:tr>
      <w:tr>
        <w:trPr>
          <w:cantSplit/>
        </w:trPr>
        <w:tc>
          <w:tcPr>
            <w:tcW w:w="17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Three · Capture</w:t>
            </w:r>
          </w:p>
        </w:tc>
        <w:tc>
          <w:tcPr>
            <w:tcW w:w="14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Days 9–13</w:t>
            </w:r>
          </w:p>
        </w:tc>
        <w:tc>
          <w:tcPr>
            <w:tcW w:w="34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The four intake channels are built onto the one schema, and the OCR pipeline is calibrated against real redacted dockets.</w:t>
            </w:r>
          </w:p>
        </w:tc>
        <w:tc>
          <w:tcPr>
            <w:tcW w:w="33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Public portal · Call-centre console · OCR &amp; search index · RSA triage view</w:t>
            </w:r>
          </w:p>
        </w:tc>
      </w:tr>
      <w:tr>
        <w:trPr>
          <w:cantSplit/>
        </w:trPr>
        <w:tc>
          <w:tcPr>
            <w:tcW w:w="17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Four · Prove</w:t>
            </w:r>
          </w:p>
        </w:tc>
        <w:tc>
          <w:tcPr>
            <w:tcW w:w="14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Days 14–18</w:t>
            </w:r>
          </w:p>
        </w:tc>
        <w:tc>
          <w:tcPr>
            <w:tcW w:w="34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A full complaint is driven from station intake to a DPP File Recall Order on seeded regional data, with RBAC tested by attempting the things that must fail.</w:t>
            </w:r>
          </w:p>
        </w:tc>
        <w:tc>
          <w:tcPr>
            <w:tcW w:w="33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Offline demonstration stack · RBAC test log · Executive walkthrough</w:t>
            </w:r>
          </w:p>
        </w:tc>
      </w:tr>
      <w:tr>
        <w:trPr>
          <w:cantSplit/>
        </w:trPr>
        <w:tc>
          <w:tcPr>
            <w:tcW w:w="17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Five · Embed</w:t>
            </w:r>
          </w:p>
        </w:tc>
        <w:tc>
          <w:tcPr>
            <w:tcW w:w="14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Weeks 4–13</w:t>
            </w:r>
          </w:p>
        </w:tc>
        <w:tc>
          <w:tcPr>
            <w:tcW w:w="34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Hardening, UAT with ICT and Inspections, then a single-region pilot running in parallel with paper, and operations handover with the runbook.</w:t>
            </w:r>
          </w:p>
        </w:tc>
        <w:tc>
          <w:tcPr>
            <w:tcW w:w="33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Production platform · UAT sign-off · Pilot deployment · Operations handover</w:t>
            </w:r>
          </w:p>
        </w:tc>
      </w:tr>
    </w:tbl>
    <w:sectPr>
      <w:pgSz w:w="12240" w:h="15840"/>
      <w:pgMar w:top="1080" w:right="720" w:bottom="1080" w:left="720" w:header="0" w:footer="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Nunito" w:hAnsi="Nunito"/>
        <w:sz w:val="20"/>
        <w:color w:val="3D3545"/>
      </w:rPr>
    </w:rPrDefault>
    <w:pPrDefault>
      <w:pPr>
        <w:spacing w:after="120" w:line="260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>
  <dc:title>Our Digitisation Process</dc:title>
  <dc:creator>Nova Generation Technologies</dc:creator>
</cp:coreProperties>
</file>