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tbl>
      <w:tblPr>
        <w:tblW w:w="9840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</w:tblPr>
      <w:tblGrid>
        <w:gridCol w:w="2400"/>
        <w:gridCol w:w="7440"/>
      </w:tblGrid>
      <w:tr>
        <w:trPr>
          <w:cantSplit/>
        </w:trPr>
        <w:tc>
          <w:tcPr>
            <w:tcW w:w="24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Branch</w:t>
            </w:r>
          </w:p>
        </w:tc>
        <w:tc>
          <w:tcPr>
            <w:tcW w:w="744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870C71"/>
                <w:sz w:val="15"/>
                <w:spacing w:val="22"/>
              </w:rPr>
              <w:t xml:space="preserve">Routing</w:t>
            </w:r>
          </w:p>
        </w:tc>
      </w:tr>
      <w:tr>
        <w:trPr>
          <w:cantSplit/>
        </w:trPr>
        <w:tc>
          <w:tcPr>
            <w:tcW w:w="2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YES — Conduct</w:t>
            </w:r>
          </w:p>
        </w:tc>
        <w:tc>
          <w:tcPr>
            <w:tcW w:w="74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Misconduct, bribery or file suppression. The local station is bypassed entirely and the matter lands with the Directorate of Inspections &amp; Quality Assurance at HQ. The officer complained against is locked out of the file at the data layer.</w:t>
            </w:r>
          </w:p>
        </w:tc>
      </w:tr>
      <w:tr>
        <w:trPr>
          <w:cantSplit/>
        </w:trPr>
        <w:tc>
          <w:tcPr>
            <w:tcW w:w="24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NO — Process decision</w:t>
            </w:r>
          </w:p>
        </w:tc>
        <w:tc>
          <w:tcPr>
            <w:tcW w:w="74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Disagreement with a sanction, a withdrawal or a charge decision. The matter routes to the Resident State Attorney at the station of origin for re-examination of the docket, with the SLA clock started at assignment.</w:t>
            </w:r>
          </w:p>
        </w:tc>
      </w:tr>
    </w:tbl>
    <w:tbl>
      <w:tblPr>
        <w:tblW w:w="9840" w:type="dxa"/>
        <w:tblLayout w:type="fixed"/>
        <w:tblBorders>
          <w:top w:val="nil"/>
          <w:bottom w:val="nil"/>
          <w:left w:val="nil"/>
          <w:right w:val="nil"/>
          <w:insideH w:val="nil"/>
          <w:insideV w:val="nil"/>
        </w:tblBorders>
      </w:tblPr>
      <w:tblGrid>
        <w:gridCol w:w="2900"/>
        <w:gridCol w:w="4600"/>
        <w:gridCol w:w="2340"/>
      </w:tblGrid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State</w:t>
            </w:r>
          </w:p>
        </w:tc>
        <w:tc>
          <w:tcPr>
            <w:tcW w:w="460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1B1949"/>
                <w:sz w:val="15"/>
                <w:spacing w:val="22"/>
              </w:rPr>
              <w:t xml:space="preserve">Meaning</w:t>
            </w:r>
          </w:p>
        </w:tc>
        <w:tc>
          <w:tcPr>
            <w:tcW w:w="2340" w:type="dxa"/>
            <w:tcBorders>
              <w:top w:val="nil" w:sz="6" w:color="E2DCE8"/>
              <w:bottom w:val="single" w:sz="14" w:color="1B1949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aps/>
                <w:color w:val="870C71"/>
                <w:sz w:val="15"/>
                <w:spacing w:val="22"/>
              </w:rPr>
              <w:t xml:space="preserve">Next trigger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RECEIVED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Captured at a channel; CRB anchor bound; tracking code issued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Triage by category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TRIAGE_CONDUCT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Classified as a conduct matter; station bypassed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Assignment to HQ Inspections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ASSIGNED_RSA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With the Resident State Attorney for docket re-examination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Resolution or 7-day expiry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ESCALATED_REGIONAL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Auto-advanced on SLA expiry to the Regional Officer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Directive or second expiry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ESCALATED_DPP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With the DPP Executive Office at JLOS House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File Recall Order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REINSTATED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Original decision reversed; prosecution reinstated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Closure and notification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SANCTIONED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Disciplinary or corrective sanction recorded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Closure and notification</w:t>
            </w:r>
          </w:p>
        </w:tc>
      </w:tr>
      <w:tr>
        <w:trPr>
          <w:cantSplit/>
        </w:trPr>
        <w:tc>
          <w:tcPr>
            <w:tcW w:w="29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1B1949"/>
                <w:sz w:val="18"/>
              </w:rPr>
              <w:t xml:space="preserve">CLOSED</w:t>
            </w:r>
          </w:p>
        </w:tc>
        <w:tc>
          <w:tcPr>
            <w:tcW w:w="460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color w:val="3D3545"/>
                <w:sz w:val="18"/>
              </w:rPr>
              <w:t xml:space="preserve">Outcome communicated to the complainant; ledger sealed</w:t>
            </w:r>
          </w:p>
        </w:tc>
        <w:tc>
          <w:tcPr>
            <w:tcW w:w="2340" w:type="dxa"/>
            <w:tcBorders>
              <w:top w:val="nil" w:sz="6" w:color="E2DCE8"/>
              <w:bottom w:val="single" w:sz="6" w:color="E2DCE8"/>
              <w:left w:val="nil" w:sz="4" w:color="E2DCE8"/>
              <w:right w:val="nil" w:sz="4" w:color="E2DCE8"/>
            </w:tcBorders>
            <w:tcMar>
              <w:top w:w="70" w:type="dxa"/>
              <w:bottom w:w="70" w:type="dxa"/>
              <w:left w:w="60" w:type="dxa"/>
              <w:right w:w="90" w:type="dxa"/>
            </w:tcMar>
          </w:tcPr>
          <w:p>
            <w:pPr>
              <w:spacing w:before="0" w:after="0" w:line="240" w:lineRule="auto"/>
            </w:pPr>
            <w:r>
              <w:rPr>
                <w:rFonts w:ascii="Nunito" w:hAnsi="Nunito"/>
                <w:b/>
                <w:color w:val="870C71"/>
                <w:sz w:val="18"/>
              </w:rPr>
              <w:t xml:space="preserve">—</w:t>
            </w:r>
          </w:p>
        </w:tc>
      </w:tr>
    </w:tbl>
    <w:sectPr>
      <w:pgSz w:w="12240" w:h="15840"/>
      <w:pgMar w:top="1080" w:right="720" w:bottom="1080" w:left="720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Nunito" w:hAnsi="Nunito"/>
        <w:sz w:val="20"/>
        <w:color w:val="3D3545"/>
      </w:rPr>
    </w:rPrDefault>
    <w:pPrDefault>
      <w:pPr>
        <w:spacing w:after="120" w:line="26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Complaint Flow Algorithm</dc:title>
  <dc:creator>Nova Generation Technologies</dc:creator>
</cp:coreProperties>
</file>