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w:body>
    <w:p>
      <w:pPr>
        <w:spacing w:before="0" w:after="40" w:line="260" w:lineRule="auto"/>
      </w:pPr>
      <w:r>
        <w:rPr>
          <w:rFonts w:ascii="Nunito" w:hAnsi="Nunito"/>
          <w:b/>
          <w:caps/>
          <w:color w:val="1B1949"/>
          <w:sz w:val="16"/>
          <w:spacing w:val="30"/>
        </w:rPr>
        <w:t xml:space="preserve">NOVA GENERATION TECHNOLOGIES</w:t>
      </w:r>
      <w:r>
        <w:rPr>
          <w:rFonts w:ascii="Nunito" w:hAnsi="Nunito"/>
          <w:color w:val="E2DCE8"/>
          <w:sz w:val="16"/>
        </w:rPr>
        <w:t xml:space="preserve">   ·   </w:t>
      </w:r>
      <w:r>
        <w:rPr>
          <w:rFonts w:ascii="Nunito" w:hAnsi="Nunito"/>
          <w:b/>
          <w:caps/>
          <w:color w:val="1B1949"/>
          <w:sz w:val="16"/>
          <w:spacing w:val="30"/>
        </w:rPr>
        <w:t xml:space="preserve">SPRINT UGANDA LIMITED</w:t>
      </w:r>
    </w:p>
    <w:p>
      <w:pPr>
        <w:spacing w:before="0" w:after="200" w:line="260" w:lineRule="auto"/>
        <w:pBdr>
          <w:bottom w:val="single" w:sz="16" w:color="1B1949"/>
        </w:pBdr>
      </w:pPr>
      <w:r>
        <w:rPr>
          <w:rFonts w:ascii="Nunito" w:hAnsi="Nunito"/>
          <w:color w:val="6B6070"/>
          <w:sz w:val="16"/>
        </w:rPr>
        <w:t xml:space="preserve">Confidential — prepared for the Office of the Director of Public Prosecutions</w:t>
      </w:r>
    </w:p>
    <w:p>
      <w:pPr>
        <w:spacing w:before="0" w:after="80" w:line="260" w:lineRule="auto"/>
      </w:pPr>
      <w:r>
        <w:rPr>
          <w:rFonts w:ascii="Nunito" w:hAnsi="Nunito"/>
          <w:b/>
          <w:caps/>
          <w:color w:val="870C71"/>
          <w:sz w:val="16"/>
          <w:spacing w:val="28"/>
        </w:rPr>
        <w:t xml:space="preserve">Technical &amp; Commercial Proposal</w:t>
      </w:r>
    </w:p>
    <w:p>
      <w:pPr>
        <w:spacing w:before="0" w:after="120" w:line="260" w:lineRule="auto"/>
      </w:pPr>
      <w:r>
        <w:rPr>
          <w:rFonts w:ascii="Cormorant Garamond" w:hAnsi="Cormorant Garamond"/>
          <w:color w:val="1B1949"/>
          <w:sz w:val="48"/>
        </w:rPr>
        <w:t xml:space="preserve">ODPP Complaints Management &amp; File Lifecycle System</w:t>
      </w:r>
    </w:p>
    <w:p>
      <w:pPr>
        <w:spacing w:before="0" w:after="180" w:line="260" w:lineRule="auto"/>
      </w:pPr>
      <w:r>
        <w:rPr>
          <w:rFonts w:ascii="Cormorant Garamond" w:hAnsi="Cormorant Garamond"/>
          <w:color w:val="1B1949"/>
          <w:sz w:val="26"/>
        </w:rPr>
        <w:t xml:space="preserve">An immutable, CRB-anchored digital platform that tracks public and internal complaints, enforces statutory turnaround times, and preserves a cryptographic audit trail behind every prosecutorial directive.</w:t>
      </w:r>
    </w:p>
    <w:tbl>
      <w:tblPr>
        <w:tblW w:w="9840" w:type="dxa"/>
        <w:tblLayout w:type="fixed"/>
        <w:tblBorders>
          <w:top w:val="nil"/>
          <w:bottom w:val="nil"/>
          <w:left w:val="nil"/>
          <w:right w:val="nil"/>
          <w:insideH w:val="nil"/>
          <w:insideV w:val="nil"/>
        </w:tblBorders>
      </w:tblPr>
      <w:tblGrid>
        <w:gridCol w:w="2200"/>
        <w:gridCol w:w="7640"/>
      </w:tblGrid>
      <w:tr>
        <w:trPr>
          <w:cantSplit/>
        </w:trPr>
        <w:tc>
          <w:tcPr>
            <w:tcW w:w="2200" w:type="dxa"/>
            <w:tcBorders>
              <w:top w:val="single" w:sz="6" w:color="E2DCE8"/>
              <w:bottom w:val="single" w:sz="6" w:color="E2DCE8"/>
              <w:left w:val="nil"/>
              <w:right w:val="nil"/>
            </w:tcBorders>
            <w:tcMar>
              <w:top w:w="70" w:type="dxa"/>
              <w:bottom w:w="70" w:type="dxa"/>
              <w:left w:w="60" w:type="dxa"/>
              <w:right w:w="90" w:type="dxa"/>
            </w:tcMar>
            <w:vAlign w:val="top"/>
          </w:tcPr>
          <w:p>
            <w:pPr>
              <w:spacing w:before="0" w:after="0" w:line="240" w:lineRule="auto"/>
            </w:pPr>
            <w:r>
              <w:rPr>
                <w:rFonts w:ascii="Nunito" w:hAnsi="Nunito"/>
                <w:b/>
                <w:caps/>
                <w:color w:val="6B6070"/>
                <w:sz w:val="15"/>
                <w:spacing w:val="22"/>
              </w:rPr>
              <w:t xml:space="preserve">Prepared for</w:t>
            </w:r>
          </w:p>
        </w:tc>
        <w:tc>
          <w:tcPr>
            <w:tcW w:w="7640" w:type="dxa"/>
            <w:tcBorders>
              <w:top w:val="single" w:sz="6" w:color="E2DCE8"/>
              <w:bottom w:val="single" w:sz="6" w:color="E2DCE8"/>
              <w:left w:val="nil"/>
              <w:right w:val="nil"/>
            </w:tcBorders>
            <w:tcMar>
              <w:top w:w="70" w:type="dxa"/>
              <w:bottom w:w="70" w:type="dxa"/>
              <w:left w:w="60" w:type="dxa"/>
              <w:right w:w="90" w:type="dxa"/>
            </w:tcMar>
            <w:vAlign w:val="top"/>
          </w:tcPr>
          <w:p>
            <w:pPr>
              <w:spacing w:before="0" w:after="0" w:line="240" w:lineRule="auto"/>
            </w:pPr>
            <w:r>
              <w:rPr>
                <w:rFonts w:ascii="Nunito" w:hAnsi="Nunito"/>
                <w:color w:val="3D3545"/>
                <w:sz w:val="18"/>
              </w:rPr>
              <w:t xml:space="preserve">The Director of Public Prosecutions and the ICT Directorate, ODPP, JLOS House, Katalima Road, Naguru, Kampala</w:t>
            </w:r>
          </w:p>
        </w:tc>
      </w:tr>
      <w:tr>
        <w:trPr>
          <w:cantSplit/>
        </w:trPr>
        <w:tc>
          <w:tcPr>
            <w:tcW w:w="2200" w:type="dxa"/>
            <w:tcBorders>
              <w:top w:val="nil" w:sz="6" w:color="E2DCE8"/>
              <w:bottom w:val="single" w:sz="6" w:color="E2DCE8"/>
              <w:left w:val="nil"/>
              <w:right w:val="nil"/>
            </w:tcBorders>
            <w:tcMar>
              <w:top w:w="70" w:type="dxa"/>
              <w:bottom w:w="70" w:type="dxa"/>
              <w:left w:w="60" w:type="dxa"/>
              <w:right w:w="90" w:type="dxa"/>
            </w:tcMar>
            <w:vAlign w:val="top"/>
          </w:tcPr>
          <w:p>
            <w:pPr>
              <w:spacing w:before="0" w:after="0" w:line="240" w:lineRule="auto"/>
            </w:pPr>
            <w:r>
              <w:rPr>
                <w:rFonts w:ascii="Nunito" w:hAnsi="Nunito"/>
                <w:b/>
                <w:caps/>
                <w:color w:val="6B6070"/>
                <w:sz w:val="15"/>
                <w:spacing w:val="22"/>
              </w:rPr>
              <w:t xml:space="preserve">Submitted by</w:t>
            </w:r>
          </w:p>
        </w:tc>
        <w:tc>
          <w:tcPr>
            <w:tcW w:w="7640" w:type="dxa"/>
            <w:tcBorders>
              <w:top w:val="nil" w:sz="6" w:color="E2DCE8"/>
              <w:bottom w:val="single" w:sz="6" w:color="E2DCE8"/>
              <w:left w:val="nil"/>
              <w:right w:val="nil"/>
            </w:tcBorders>
            <w:tcMar>
              <w:top w:w="70" w:type="dxa"/>
              <w:bottom w:w="70" w:type="dxa"/>
              <w:left w:w="60" w:type="dxa"/>
              <w:right w:w="90" w:type="dxa"/>
            </w:tcMar>
            <w:vAlign w:val="top"/>
          </w:tcPr>
          <w:p>
            <w:pPr>
              <w:spacing w:before="0" w:after="0" w:line="240" w:lineRule="auto"/>
            </w:pPr>
            <w:r>
              <w:rPr>
                <w:rFonts w:ascii="Nunito" w:hAnsi="Nunito"/>
                <w:color w:val="3D3545"/>
                <w:sz w:val="18"/>
              </w:rPr>
              <w:t xml:space="preserve">Nova Generation Technologies, in partnership with Sprint Uganda Limited</w:t>
            </w:r>
          </w:p>
        </w:tc>
      </w:tr>
      <w:tr>
        <w:trPr>
          <w:cantSplit/>
        </w:trPr>
        <w:tc>
          <w:tcPr>
            <w:tcW w:w="2200" w:type="dxa"/>
            <w:tcBorders>
              <w:top w:val="nil" w:sz="6" w:color="E2DCE8"/>
              <w:bottom w:val="single" w:sz="6" w:color="E2DCE8"/>
              <w:left w:val="nil"/>
              <w:right w:val="nil"/>
            </w:tcBorders>
            <w:tcMar>
              <w:top w:w="70" w:type="dxa"/>
              <w:bottom w:w="70" w:type="dxa"/>
              <w:left w:w="60" w:type="dxa"/>
              <w:right w:w="90" w:type="dxa"/>
            </w:tcMar>
            <w:vAlign w:val="top"/>
          </w:tcPr>
          <w:p>
            <w:pPr>
              <w:spacing w:before="0" w:after="0" w:line="240" w:lineRule="auto"/>
            </w:pPr>
            <w:r>
              <w:rPr>
                <w:rFonts w:ascii="Nunito" w:hAnsi="Nunito"/>
                <w:b/>
                <w:caps/>
                <w:color w:val="6B6070"/>
                <w:sz w:val="15"/>
                <w:spacing w:val="22"/>
              </w:rPr>
              <w:t xml:space="preserve">Engagement</w:t>
            </w:r>
          </w:p>
        </w:tc>
        <w:tc>
          <w:tcPr>
            <w:tcW w:w="7640" w:type="dxa"/>
            <w:tcBorders>
              <w:top w:val="nil" w:sz="6" w:color="E2DCE8"/>
              <w:bottom w:val="single" w:sz="6" w:color="E2DCE8"/>
              <w:left w:val="nil"/>
              <w:right w:val="nil"/>
            </w:tcBorders>
            <w:tcMar>
              <w:top w:w="70" w:type="dxa"/>
              <w:bottom w:w="70" w:type="dxa"/>
              <w:left w:w="60" w:type="dxa"/>
              <w:right w:w="90" w:type="dxa"/>
            </w:tcMar>
            <w:vAlign w:val="top"/>
          </w:tcPr>
          <w:p>
            <w:pPr>
              <w:spacing w:before="0" w:after="0" w:line="240" w:lineRule="auto"/>
            </w:pPr>
            <w:r>
              <w:rPr>
                <w:rFonts w:ascii="Nunito" w:hAnsi="Nunito"/>
                <w:color w:val="3D3545"/>
                <w:sz w:val="18"/>
              </w:rPr>
              <w:t xml:space="preserve">18-day Proof of Concept, followed by a 13-week production build and national-readiness handover</w:t>
            </w:r>
          </w:p>
        </w:tc>
      </w:tr>
      <w:tr>
        <w:trPr>
          <w:cantSplit/>
        </w:trPr>
        <w:tc>
          <w:tcPr>
            <w:tcW w:w="2200" w:type="dxa"/>
            <w:tcBorders>
              <w:top w:val="nil" w:sz="6" w:color="E2DCE8"/>
              <w:bottom w:val="single" w:sz="6" w:color="E2DCE8"/>
              <w:left w:val="nil"/>
              <w:right w:val="nil"/>
            </w:tcBorders>
            <w:tcMar>
              <w:top w:w="70" w:type="dxa"/>
              <w:bottom w:w="70" w:type="dxa"/>
              <w:left w:w="60" w:type="dxa"/>
              <w:right w:w="90" w:type="dxa"/>
            </w:tcMar>
            <w:vAlign w:val="top"/>
          </w:tcPr>
          <w:p>
            <w:pPr>
              <w:spacing w:before="0" w:after="0" w:line="240" w:lineRule="auto"/>
            </w:pPr>
            <w:r>
              <w:rPr>
                <w:rFonts w:ascii="Nunito" w:hAnsi="Nunito"/>
                <w:b/>
                <w:caps/>
                <w:color w:val="6B6070"/>
                <w:sz w:val="15"/>
                <w:spacing w:val="22"/>
              </w:rPr>
              <w:t xml:space="preserve">Companion documents</w:t>
            </w:r>
          </w:p>
        </w:tc>
        <w:tc>
          <w:tcPr>
            <w:tcW w:w="7640" w:type="dxa"/>
            <w:tcBorders>
              <w:top w:val="nil" w:sz="6" w:color="E2DCE8"/>
              <w:bottom w:val="single" w:sz="6" w:color="E2DCE8"/>
              <w:left w:val="nil"/>
              <w:right w:val="nil"/>
            </w:tcBorders>
            <w:tcMar>
              <w:top w:w="70" w:type="dxa"/>
              <w:bottom w:w="70" w:type="dxa"/>
              <w:left w:w="60" w:type="dxa"/>
              <w:right w:w="90" w:type="dxa"/>
            </w:tcMar>
            <w:vAlign w:val="top"/>
          </w:tcPr>
          <w:p>
            <w:pPr>
              <w:spacing w:before="0" w:after="0" w:line="240" w:lineRule="auto"/>
            </w:pPr>
            <w:r>
              <w:rPr>
                <w:rFonts w:ascii="Nunito" w:hAnsi="Nunito"/>
                <w:color w:val="3D3545"/>
                <w:sz w:val="18"/>
              </w:rPr>
              <w:t xml:space="preserve">Complaint Flow Algorithm · Our Digitisation Process · Project Schedule (ODPP) · Delivery Schedule (Internal)</w:t>
            </w:r>
          </w:p>
        </w:tc>
      </w:tr>
    </w:tbl>
    <w:p>
      <w:pPr>
        <w:spacing w:before="280" w:after="60" w:line="260" w:lineRule="auto"/>
      </w:pPr>
      <w:r>
        <w:rPr>
          <w:rFonts w:ascii="Cormorant Garamond" w:hAnsi="Cormorant Garamond"/>
          <w:color w:val="1B1949"/>
          <w:sz w:val="30"/>
        </w:rPr>
        <w:t xml:space="preserve">1. Executive summary</w:t>
      </w:r>
    </w:p>
    <w:p>
      <w:pPr>
        <w:spacing w:before="0" w:after="140" w:line="260" w:lineRule="auto"/>
      </w:pPr>
      <w:r>
        <w:rPr>
          <w:rFonts w:ascii="Nunito" w:hAnsi="Nunito"/>
          <w:color w:val="3D3545"/>
          <w:sz w:val="20"/>
        </w:rPr>
        <w:t xml:space="preserve">A complaint against a prosecutorial decision is, today, a piece of paper. It moves by hand from a public desk to a Resident State Attorney, and from there — if it moves at all — to a Regional Officer. Nothing in that chain records when the file arrived, who held it, how long they held it, or why the outcome was what it was. When a citizen asks for the status of their petition, there is no system that can answer.</w:t>
      </w:r>
    </w:p>
    <w:p>
      <w:pPr>
        <w:spacing w:before="0" w:after="140" w:line="260" w:lineRule="auto"/>
      </w:pPr>
      <w:r>
        <w:rPr>
          <w:rFonts w:ascii="Nunito" w:hAnsi="Nunito"/>
          <w:color w:val="3D3545"/>
          <w:sz w:val="20"/>
        </w:rPr>
        <w:t xml:space="preserve">We propose to close that gap with a platform anchored on the one identifier that already binds every case in the justice chain: the Police CRB number. Every complaint received — through the public web portal, the toll-free line, the walk-in desk at JLOS House, or by email — is bound to a CRB reference at the moment of intake, triaged automatically by category, routed to the officer with statutory authority to act, and monitored against a hard SLA clock. Where the clock expires, the file escalates without anyone having to ask for it.</w:t>
      </w:r>
    </w:p>
    <w:p>
      <w:pPr>
        <w:spacing w:before="120" w:after="160" w:line="260" w:lineRule="auto"/>
        <w:shd w:val="clear" w:fill="F6F4F8"/>
        <w:pBdr>
          <w:left w:val="single" w:sz="18" w:space="8" w:color="870C71"/>
        </w:pBdr>
      </w:pPr>
      <w:r>
        <w:rPr>
          <w:rFonts w:ascii="Cormorant Garamond" w:hAnsi="Cormorant Garamond"/>
          <w:color w:val="1B1949"/>
          <w:sz w:val="26"/>
        </w:rPr>
        <w:t xml:space="preserve">Three outcomes define success: no complaint is lost, no statutory deadline passes unnoticed, and every directive issued by the Directorate is permanently attributable to the officer who issued it.</w:t>
      </w:r>
    </w:p>
    <w:p>
      <w:pPr>
        <w:spacing w:before="0" w:after="140" w:line="260" w:lineRule="auto"/>
      </w:pPr>
      <w:r>
        <w:rPr>
          <w:rFonts w:ascii="Nunito" w:hAnsi="Nunito"/>
          <w:color w:val="3D3545"/>
          <w:sz w:val="20"/>
        </w:rPr>
        <w:t xml:space="preserve">This proposal opens with a tightly scoped 18-day Proof of Concept run entirely from a single point of contact inside the Directorate. It requires no broad access to sensitive files and no disruption to current operations. At its close, the DPP sees a working system handling a real escalation scenario end to end, on an offline demonstration stack, with no dependency on venue connectivity.</w:t>
      </w:r>
    </w:p>
    <w:p>
      <w:pPr>
        <w:spacing w:before="280" w:after="60" w:line="260" w:lineRule="auto"/>
      </w:pPr>
      <w:r>
        <w:rPr>
          <w:rFonts w:ascii="Cormorant Garamond" w:hAnsi="Cormorant Garamond"/>
          <w:color w:val="1B1949"/>
          <w:sz w:val="30"/>
        </w:rPr>
        <w:t xml:space="preserve">2. The operational problem</w:t>
      </w:r>
    </w:p>
    <w:tbl>
      <w:tblPr>
        <w:tblW w:w="9840" w:type="dxa"/>
        <w:tblLayout w:type="fixed"/>
        <w:tblBorders>
          <w:top w:val="nil"/>
          <w:bottom w:val="nil"/>
          <w:left w:val="nil"/>
          <w:right w:val="nil"/>
          <w:insideH w:val="nil"/>
          <w:insideV w:val="nil"/>
        </w:tblBorders>
      </w:tblPr>
      <w:tblGrid>
        <w:gridCol w:w="2600"/>
        <w:gridCol w:w="3800"/>
        <w:gridCol w:w="3440"/>
      </w:tblGrid>
      <w:tr>
        <w:trPr>
          <w:cantSplit/>
        </w:trPr>
        <w:tc>
          <w:tcPr>
            <w:tcW w:w="2600" w:type="dxa"/>
            <w:tcBorders>
              <w:top w:val="nil" w:sz="6" w:color="E2DCE8"/>
              <w:bottom w:val="single" w:sz="14" w:color="1B1949"/>
              <w:left w:val="nil"/>
              <w:right w:val="nil"/>
            </w:tcBorders>
            <w:tcMar>
              <w:top w:w="70" w:type="dxa"/>
              <w:bottom w:w="70" w:type="dxa"/>
              <w:left w:w="60" w:type="dxa"/>
              <w:right w:w="90" w:type="dxa"/>
            </w:tcMar>
            <w:vAlign w:val="top"/>
          </w:tcPr>
          <w:p>
            <w:pPr>
              <w:spacing w:before="0" w:after="0" w:line="240" w:lineRule="auto"/>
            </w:pPr>
            <w:r>
              <w:rPr>
                <w:rFonts w:ascii="Nunito" w:hAnsi="Nunito"/>
                <w:b/>
                <w:caps/>
                <w:color w:val="1B1949"/>
                <w:sz w:val="15"/>
                <w:spacing w:val="22"/>
              </w:rPr>
              <w:t xml:space="preserve">Current condition</w:t>
            </w:r>
          </w:p>
        </w:tc>
        <w:tc>
          <w:tcPr>
            <w:tcW w:w="3800" w:type="dxa"/>
            <w:tcBorders>
              <w:top w:val="nil" w:sz="6" w:color="E2DCE8"/>
              <w:bottom w:val="single" w:sz="14" w:color="1B1949"/>
              <w:left w:val="nil"/>
              <w:right w:val="nil"/>
            </w:tcBorders>
            <w:tcMar>
              <w:top w:w="70" w:type="dxa"/>
              <w:bottom w:w="70" w:type="dxa"/>
              <w:left w:w="60" w:type="dxa"/>
              <w:right w:w="90" w:type="dxa"/>
            </w:tcMar>
            <w:vAlign w:val="top"/>
          </w:tcPr>
          <w:p>
            <w:pPr>
              <w:spacing w:before="0" w:after="0" w:line="240" w:lineRule="auto"/>
            </w:pPr>
            <w:r>
              <w:rPr>
                <w:rFonts w:ascii="Nunito" w:hAnsi="Nunito"/>
                <w:b/>
                <w:caps/>
                <w:color w:val="1B1949"/>
                <w:sz w:val="15"/>
                <w:spacing w:val="22"/>
              </w:rPr>
              <w:t xml:space="preserve">Consequence</w:t>
            </w:r>
          </w:p>
        </w:tc>
        <w:tc>
          <w:tcPr>
            <w:tcW w:w="3440" w:type="dxa"/>
            <w:tcBorders>
              <w:top w:val="nil" w:sz="6" w:color="E2DCE8"/>
              <w:bottom w:val="single" w:sz="14" w:color="1B1949"/>
              <w:left w:val="nil"/>
              <w:right w:val="nil"/>
            </w:tcBorders>
            <w:tcMar>
              <w:top w:w="70" w:type="dxa"/>
              <w:bottom w:w="70" w:type="dxa"/>
              <w:left w:w="60" w:type="dxa"/>
              <w:right w:w="90" w:type="dxa"/>
            </w:tcMar>
            <w:vAlign w:val="top"/>
          </w:tcPr>
          <w:p>
            <w:pPr>
              <w:spacing w:before="0" w:after="0" w:line="240" w:lineRule="auto"/>
            </w:pPr>
            <w:r>
              <w:rPr>
                <w:rFonts w:ascii="Nunito" w:hAnsi="Nunito"/>
                <w:b/>
                <w:caps/>
                <w:color w:val="870C71"/>
                <w:sz w:val="15"/>
                <w:spacing w:val="22"/>
              </w:rPr>
              <w:t xml:space="preserve">System response</w:t>
            </w:r>
          </w:p>
        </w:tc>
      </w:tr>
      <w:tr>
        <w:trPr>
          <w:cantSplit/>
        </w:trPr>
        <w:tc>
          <w:tcPr>
            <w:tcW w:w="2600" w:type="dxa"/>
            <w:tcBorders>
              <w:top w:val="nil" w:sz="6" w:color="E2DCE8"/>
              <w:bottom w:val="single" w:sz="6" w:color="E2DCE8"/>
              <w:left w:val="nil"/>
              <w:right w:val="nil"/>
            </w:tcBorders>
            <w:tcMar>
              <w:top w:w="70" w:type="dxa"/>
              <w:bottom w:w="70" w:type="dxa"/>
              <w:left w:w="60" w:type="dxa"/>
              <w:right w:w="90" w:type="dxa"/>
            </w:tcMar>
            <w:vAlign w:val="top"/>
          </w:tcPr>
          <w:p>
            <w:pPr>
              <w:spacing w:before="0" w:after="0" w:line="240" w:lineRule="auto"/>
            </w:pPr>
            <w:r>
              <w:rPr>
                <w:rFonts w:ascii="Nunito" w:hAnsi="Nunito"/>
                <w:b/>
                <w:color w:val="1B1949"/>
                <w:sz w:val="18"/>
              </w:rPr>
              <w:t xml:space="preserve">Physical docket movement is unrecorded</w:t>
            </w:r>
          </w:p>
        </w:tc>
        <w:tc>
          <w:tcPr>
            <w:tcW w:w="3800" w:type="dxa"/>
            <w:tcBorders>
              <w:top w:val="nil" w:sz="6" w:color="E2DCE8"/>
              <w:bottom w:val="single" w:sz="6" w:color="E2DCE8"/>
              <w:left w:val="nil"/>
              <w:right w:val="nil"/>
            </w:tcBorders>
            <w:tcMar>
              <w:top w:w="70" w:type="dxa"/>
              <w:bottom w:w="70" w:type="dxa"/>
              <w:left w:w="60" w:type="dxa"/>
              <w:right w:w="90" w:type="dxa"/>
            </w:tcMar>
            <w:vAlign w:val="top"/>
          </w:tcPr>
          <w:p>
            <w:pPr>
              <w:spacing w:before="0" w:after="0" w:line="240" w:lineRule="auto"/>
            </w:pPr>
            <w:r>
              <w:rPr>
                <w:rFonts w:ascii="Nunito" w:hAnsi="Nunito"/>
                <w:color w:val="3D3545"/>
                <w:sz w:val="18"/>
              </w:rPr>
              <w:t xml:space="preserve">Files go missing with no accountable custodian; recovery is informal and undocumented</w:t>
            </w:r>
          </w:p>
        </w:tc>
        <w:tc>
          <w:tcPr>
            <w:tcW w:w="3440" w:type="dxa"/>
            <w:tcBorders>
              <w:top w:val="nil" w:sz="6" w:color="E2DCE8"/>
              <w:bottom w:val="single" w:sz="6" w:color="E2DCE8"/>
              <w:left w:val="nil"/>
              <w:right w:val="nil"/>
            </w:tcBorders>
            <w:tcMar>
              <w:top w:w="70" w:type="dxa"/>
              <w:bottom w:w="70" w:type="dxa"/>
              <w:left w:w="60" w:type="dxa"/>
              <w:right w:w="90" w:type="dxa"/>
            </w:tcMar>
            <w:vAlign w:val="top"/>
          </w:tcPr>
          <w:p>
            <w:pPr>
              <w:spacing w:before="0" w:after="0" w:line="240" w:lineRule="auto"/>
            </w:pPr>
            <w:r>
              <w:rPr>
                <w:rFonts w:ascii="Nunito" w:hAnsi="Nunito"/>
                <w:color w:val="3D3545"/>
                <w:sz w:val="18"/>
              </w:rPr>
              <w:t xml:space="preserve">Append-only File Movement Ledger records every hand-off cryptographically</w:t>
            </w:r>
          </w:p>
        </w:tc>
      </w:tr>
      <w:tr>
        <w:trPr>
          <w:cantSplit/>
        </w:trPr>
        <w:tc>
          <w:tcPr>
            <w:tcW w:w="2600" w:type="dxa"/>
            <w:tcBorders>
              <w:top w:val="nil" w:sz="6" w:color="E2DCE8"/>
              <w:bottom w:val="single" w:sz="6" w:color="E2DCE8"/>
              <w:left w:val="nil"/>
              <w:right w:val="nil"/>
            </w:tcBorders>
            <w:tcMar>
              <w:top w:w="70" w:type="dxa"/>
              <w:bottom w:w="70" w:type="dxa"/>
              <w:left w:w="60" w:type="dxa"/>
              <w:right w:w="90" w:type="dxa"/>
            </w:tcMar>
            <w:vAlign w:val="top"/>
          </w:tcPr>
          <w:p>
            <w:pPr>
              <w:spacing w:before="0" w:after="0" w:line="240" w:lineRule="auto"/>
            </w:pPr>
            <w:r>
              <w:rPr>
                <w:rFonts w:ascii="Nunito" w:hAnsi="Nunito"/>
                <w:b/>
                <w:color w:val="1B1949"/>
                <w:sz w:val="18"/>
              </w:rPr>
              <w:t xml:space="preserve">No SLA clock on petitions</w:t>
            </w:r>
          </w:p>
        </w:tc>
        <w:tc>
          <w:tcPr>
            <w:tcW w:w="3800" w:type="dxa"/>
            <w:tcBorders>
              <w:top w:val="nil" w:sz="6" w:color="E2DCE8"/>
              <w:bottom w:val="single" w:sz="6" w:color="E2DCE8"/>
              <w:left w:val="nil"/>
              <w:right w:val="nil"/>
            </w:tcBorders>
            <w:tcMar>
              <w:top w:w="70" w:type="dxa"/>
              <w:bottom w:w="70" w:type="dxa"/>
              <w:left w:w="60" w:type="dxa"/>
              <w:right w:w="90" w:type="dxa"/>
            </w:tcMar>
            <w:vAlign w:val="top"/>
          </w:tcPr>
          <w:p>
            <w:pPr>
              <w:spacing w:before="0" w:after="0" w:line="240" w:lineRule="auto"/>
            </w:pPr>
            <w:r>
              <w:rPr>
                <w:rFonts w:ascii="Nunito" w:hAnsi="Nunito"/>
                <w:color w:val="3D3545"/>
                <w:sz w:val="18"/>
              </w:rPr>
              <w:t xml:space="preserve">A complaint can sit at station level indefinitely without breaching any visible rule</w:t>
            </w:r>
          </w:p>
        </w:tc>
        <w:tc>
          <w:tcPr>
            <w:tcW w:w="3440" w:type="dxa"/>
            <w:tcBorders>
              <w:top w:val="nil" w:sz="6" w:color="E2DCE8"/>
              <w:bottom w:val="single" w:sz="6" w:color="E2DCE8"/>
              <w:left w:val="nil"/>
              <w:right w:val="nil"/>
            </w:tcBorders>
            <w:tcMar>
              <w:top w:w="70" w:type="dxa"/>
              <w:bottom w:w="70" w:type="dxa"/>
              <w:left w:w="60" w:type="dxa"/>
              <w:right w:w="90" w:type="dxa"/>
            </w:tcMar>
            <w:vAlign w:val="top"/>
          </w:tcPr>
          <w:p>
            <w:pPr>
              <w:spacing w:before="0" w:after="0" w:line="240" w:lineRule="auto"/>
            </w:pPr>
            <w:r>
              <w:rPr>
                <w:rFonts w:ascii="Nunito" w:hAnsi="Nunito"/>
                <w:color w:val="3D3545"/>
                <w:sz w:val="18"/>
              </w:rPr>
              <w:t xml:space="preserve">Background monitors auto-escalate on expiry of the 7-day window</w:t>
            </w:r>
          </w:p>
        </w:tc>
      </w:tr>
      <w:tr>
        <w:trPr>
          <w:cantSplit/>
        </w:trPr>
        <w:tc>
          <w:tcPr>
            <w:tcW w:w="2600" w:type="dxa"/>
            <w:tcBorders>
              <w:top w:val="nil" w:sz="6" w:color="E2DCE8"/>
              <w:bottom w:val="single" w:sz="6" w:color="E2DCE8"/>
              <w:left w:val="nil"/>
              <w:right w:val="nil"/>
            </w:tcBorders>
            <w:tcMar>
              <w:top w:w="70" w:type="dxa"/>
              <w:bottom w:w="70" w:type="dxa"/>
              <w:left w:w="60" w:type="dxa"/>
              <w:right w:w="90" w:type="dxa"/>
            </w:tcMar>
            <w:vAlign w:val="top"/>
          </w:tcPr>
          <w:p>
            <w:pPr>
              <w:spacing w:before="0" w:after="0" w:line="240" w:lineRule="auto"/>
            </w:pPr>
            <w:r>
              <w:rPr>
                <w:rFonts w:ascii="Nunito" w:hAnsi="Nunito"/>
                <w:b/>
                <w:color w:val="1B1949"/>
                <w:sz w:val="18"/>
              </w:rPr>
              <w:t xml:space="preserve">Conduct complaints route through the officer complained against</w:t>
            </w:r>
          </w:p>
        </w:tc>
        <w:tc>
          <w:tcPr>
            <w:tcW w:w="3800" w:type="dxa"/>
            <w:tcBorders>
              <w:top w:val="nil" w:sz="6" w:color="E2DCE8"/>
              <w:bottom w:val="single" w:sz="6" w:color="E2DCE8"/>
              <w:left w:val="nil"/>
              <w:right w:val="nil"/>
            </w:tcBorders>
            <w:tcMar>
              <w:top w:w="70" w:type="dxa"/>
              <w:bottom w:w="70" w:type="dxa"/>
              <w:left w:w="60" w:type="dxa"/>
              <w:right w:w="90" w:type="dxa"/>
            </w:tcMar>
            <w:vAlign w:val="top"/>
          </w:tcPr>
          <w:p>
            <w:pPr>
              <w:spacing w:before="0" w:after="0" w:line="240" w:lineRule="auto"/>
            </w:pPr>
            <w:r>
              <w:rPr>
                <w:rFonts w:ascii="Nunito" w:hAnsi="Nunito"/>
                <w:color w:val="3D3545"/>
                <w:sz w:val="18"/>
              </w:rPr>
              <w:t xml:space="preserve">Structural conflict of interest; suppression is possible and untraceable</w:t>
            </w:r>
          </w:p>
        </w:tc>
        <w:tc>
          <w:tcPr>
            <w:tcW w:w="3440" w:type="dxa"/>
            <w:tcBorders>
              <w:top w:val="nil" w:sz="6" w:color="E2DCE8"/>
              <w:bottom w:val="single" w:sz="6" w:color="E2DCE8"/>
              <w:left w:val="nil"/>
              <w:right w:val="nil"/>
            </w:tcBorders>
            <w:tcMar>
              <w:top w:w="70" w:type="dxa"/>
              <w:bottom w:w="70" w:type="dxa"/>
              <w:left w:w="60" w:type="dxa"/>
              <w:right w:w="90" w:type="dxa"/>
            </w:tcMar>
            <w:vAlign w:val="top"/>
          </w:tcPr>
          <w:p>
            <w:pPr>
              <w:spacing w:before="0" w:after="0" w:line="240" w:lineRule="auto"/>
            </w:pPr>
            <w:r>
              <w:rPr>
                <w:rFonts w:ascii="Nunito" w:hAnsi="Nunito"/>
                <w:color w:val="3D3545"/>
                <w:sz w:val="18"/>
              </w:rPr>
              <w:t xml:space="preserve">Conduct category bypasses the station entirely and lands at HQ Inspections</w:t>
            </w:r>
          </w:p>
        </w:tc>
      </w:tr>
      <w:tr>
        <w:trPr>
          <w:cantSplit/>
        </w:trPr>
        <w:tc>
          <w:tcPr>
            <w:tcW w:w="2600" w:type="dxa"/>
            <w:tcBorders>
              <w:top w:val="nil" w:sz="6" w:color="E2DCE8"/>
              <w:bottom w:val="single" w:sz="6" w:color="E2DCE8"/>
              <w:left w:val="nil"/>
              <w:right w:val="nil"/>
            </w:tcBorders>
            <w:tcMar>
              <w:top w:w="70" w:type="dxa"/>
              <w:bottom w:w="70" w:type="dxa"/>
              <w:left w:w="60" w:type="dxa"/>
              <w:right w:w="90" w:type="dxa"/>
            </w:tcMar>
            <w:vAlign w:val="top"/>
          </w:tcPr>
          <w:p>
            <w:pPr>
              <w:spacing w:before="0" w:after="0" w:line="240" w:lineRule="auto"/>
            </w:pPr>
            <w:r>
              <w:rPr>
                <w:rFonts w:ascii="Nunito" w:hAnsi="Nunito"/>
                <w:b/>
                <w:color w:val="1B1949"/>
                <w:sz w:val="18"/>
              </w:rPr>
              <w:t xml:space="preserve">Dockets exist only on paper</w:t>
            </w:r>
          </w:p>
        </w:tc>
        <w:tc>
          <w:tcPr>
            <w:tcW w:w="3800" w:type="dxa"/>
            <w:tcBorders>
              <w:top w:val="nil" w:sz="6" w:color="E2DCE8"/>
              <w:bottom w:val="single" w:sz="6" w:color="E2DCE8"/>
              <w:left w:val="nil"/>
              <w:right w:val="nil"/>
            </w:tcBorders>
            <w:tcMar>
              <w:top w:w="70" w:type="dxa"/>
              <w:bottom w:w="70" w:type="dxa"/>
              <w:left w:w="60" w:type="dxa"/>
              <w:right w:w="90" w:type="dxa"/>
            </w:tcMar>
            <w:vAlign w:val="top"/>
          </w:tcPr>
          <w:p>
            <w:pPr>
              <w:spacing w:before="0" w:after="0" w:line="240" w:lineRule="auto"/>
            </w:pPr>
            <w:r>
              <w:rPr>
                <w:rFonts w:ascii="Nunito" w:hAnsi="Nunito"/>
                <w:color w:val="3D3545"/>
                <w:sz w:val="18"/>
              </w:rPr>
              <w:t xml:space="preserve">No search across charge sheets, perusal minutes or suspect names</w:t>
            </w:r>
          </w:p>
        </w:tc>
        <w:tc>
          <w:tcPr>
            <w:tcW w:w="3440" w:type="dxa"/>
            <w:tcBorders>
              <w:top w:val="nil" w:sz="6" w:color="E2DCE8"/>
              <w:bottom w:val="single" w:sz="6" w:color="E2DCE8"/>
              <w:left w:val="nil"/>
              <w:right w:val="nil"/>
            </w:tcBorders>
            <w:tcMar>
              <w:top w:w="70" w:type="dxa"/>
              <w:bottom w:w="70" w:type="dxa"/>
              <w:left w:w="60" w:type="dxa"/>
              <w:right w:w="90" w:type="dxa"/>
            </w:tcMar>
            <w:vAlign w:val="top"/>
          </w:tcPr>
          <w:p>
            <w:pPr>
              <w:spacing w:before="0" w:after="0" w:line="240" w:lineRule="auto"/>
            </w:pPr>
            <w:r>
              <w:rPr>
                <w:rFonts w:ascii="Nunito" w:hAnsi="Nunito"/>
                <w:color w:val="3D3545"/>
                <w:sz w:val="18"/>
              </w:rPr>
              <w:t xml:space="preserve">OCR pipeline indexes scanned dockets for full-text retrieval</w:t>
            </w:r>
          </w:p>
        </w:tc>
      </w:tr>
      <w:tr>
        <w:trPr>
          <w:cantSplit/>
        </w:trPr>
        <w:tc>
          <w:tcPr>
            <w:tcW w:w="2600" w:type="dxa"/>
            <w:tcBorders>
              <w:top w:val="nil" w:sz="6" w:color="E2DCE8"/>
              <w:bottom w:val="single" w:sz="6" w:color="E2DCE8"/>
              <w:left w:val="nil"/>
              <w:right w:val="nil"/>
            </w:tcBorders>
            <w:tcMar>
              <w:top w:w="70" w:type="dxa"/>
              <w:bottom w:w="70" w:type="dxa"/>
              <w:left w:w="60" w:type="dxa"/>
              <w:right w:w="90" w:type="dxa"/>
            </w:tcMar>
            <w:vAlign w:val="top"/>
          </w:tcPr>
          <w:p>
            <w:pPr>
              <w:spacing w:before="0" w:after="0" w:line="240" w:lineRule="auto"/>
            </w:pPr>
            <w:r>
              <w:rPr>
                <w:rFonts w:ascii="Nunito" w:hAnsi="Nunito"/>
                <w:b/>
                <w:color w:val="1B1949"/>
                <w:sz w:val="18"/>
              </w:rPr>
              <w:t xml:space="preserve">Complainants receive no reference</w:t>
            </w:r>
          </w:p>
        </w:tc>
        <w:tc>
          <w:tcPr>
            <w:tcW w:w="3800" w:type="dxa"/>
            <w:tcBorders>
              <w:top w:val="nil" w:sz="6" w:color="E2DCE8"/>
              <w:bottom w:val="single" w:sz="6" w:color="E2DCE8"/>
              <w:left w:val="nil"/>
              <w:right w:val="nil"/>
            </w:tcBorders>
            <w:tcMar>
              <w:top w:w="70" w:type="dxa"/>
              <w:bottom w:w="70" w:type="dxa"/>
              <w:left w:w="60" w:type="dxa"/>
              <w:right w:w="90" w:type="dxa"/>
            </w:tcMar>
            <w:vAlign w:val="top"/>
          </w:tcPr>
          <w:p>
            <w:pPr>
              <w:spacing w:before="0" w:after="0" w:line="240" w:lineRule="auto"/>
            </w:pPr>
            <w:r>
              <w:rPr>
                <w:rFonts w:ascii="Nunito" w:hAnsi="Nunito"/>
                <w:color w:val="3D3545"/>
                <w:sz w:val="18"/>
              </w:rPr>
              <w:t xml:space="preserve">Repeat visits and calls to the Directorate simply to ask where a file is</w:t>
            </w:r>
          </w:p>
        </w:tc>
        <w:tc>
          <w:tcPr>
            <w:tcW w:w="3440" w:type="dxa"/>
            <w:tcBorders>
              <w:top w:val="nil" w:sz="6" w:color="E2DCE8"/>
              <w:bottom w:val="single" w:sz="6" w:color="E2DCE8"/>
              <w:left w:val="nil"/>
              <w:right w:val="nil"/>
            </w:tcBorders>
            <w:tcMar>
              <w:top w:w="70" w:type="dxa"/>
              <w:bottom w:w="70" w:type="dxa"/>
              <w:left w:w="60" w:type="dxa"/>
              <w:right w:w="90" w:type="dxa"/>
            </w:tcMar>
            <w:vAlign w:val="top"/>
          </w:tcPr>
          <w:p>
            <w:pPr>
              <w:spacing w:before="0" w:after="0" w:line="240" w:lineRule="auto"/>
            </w:pPr>
            <w:r>
              <w:rPr>
                <w:rFonts w:ascii="Nunito" w:hAnsi="Nunito"/>
                <w:color w:val="3D3545"/>
                <w:sz w:val="18"/>
              </w:rPr>
              <w:t xml:space="preserve">Unique tracking code issued at intake, checkable without an account</w:t>
            </w:r>
          </w:p>
        </w:tc>
      </w:tr>
    </w:tbl>
    <w:p>
      <w:pPr>
        <w:spacing w:before="280" w:after="60" w:line="260" w:lineRule="auto"/>
      </w:pPr>
      <w:r>
        <w:rPr>
          <w:rFonts w:ascii="Cormorant Garamond" w:hAnsi="Cormorant Garamond"/>
          <w:color w:val="1B1949"/>
          <w:sz w:val="30"/>
        </w:rPr>
        <w:t xml:space="preserve">3. The four subsystems</w:t>
      </w:r>
    </w:p>
    <w:p>
      <w:pPr>
        <w:spacing w:before="180" w:after="40" w:line="260" w:lineRule="auto"/>
      </w:pPr>
      <w:r>
        <w:rPr>
          <w:rFonts w:ascii="Cormorant Garamond" w:hAnsi="Cormorant Garamond"/>
          <w:color w:val="1B1949"/>
          <w:sz w:val="24"/>
        </w:rPr>
        <w:t xml:space="preserve">01 · Multi-Channel Ingestion Gateway</w:t>
      </w:r>
    </w:p>
    <w:p>
      <w:pPr>
        <w:spacing w:before="0" w:after="140" w:line="260" w:lineRule="auto"/>
      </w:pPr>
      <w:r>
        <w:rPr>
          <w:rFonts w:ascii="Nunito" w:hAnsi="Nunito"/>
          <w:color w:val="3D3545"/>
          <w:sz w:val="20"/>
        </w:rPr>
        <w:t xml:space="preserve">A public web form, a toll-free call-centre capture console, an internal desk intake for paper petitions, and a monitored email inbox — all four converge on one intake schema. Every submission is bound to a CRB reference and returned to the complainant as a single tracking code. Where a citizen has no CRB number, the intake officer resolves it against the station ledger before the record can leave triage.</w:t>
      </w:r>
    </w:p>
    <w:p>
      <w:pPr>
        <w:spacing w:before="180" w:after="40" w:line="260" w:lineRule="auto"/>
      </w:pPr>
      <w:r>
        <w:rPr>
          <w:rFonts w:ascii="Cormorant Garamond" w:hAnsi="Cormorant Garamond"/>
          <w:color w:val="1B1949"/>
          <w:sz w:val="24"/>
        </w:rPr>
        <w:t xml:space="preserve">02 · Automated Escalation Matrix</w:t>
      </w:r>
    </w:p>
    <w:p>
      <w:pPr>
        <w:spacing w:before="0" w:after="140" w:line="260" w:lineRule="auto"/>
      </w:pPr>
      <w:r>
        <w:rPr>
          <w:rFonts w:ascii="Nunito" w:hAnsi="Nunito"/>
          <w:color w:val="3D3545"/>
          <w:sz w:val="20"/>
        </w:rPr>
        <w:t xml:space="preserve">A state machine enforcing the statutory hierarchy: Resident State Attorney, then Regional Officer, then the DPP Executive Office at JLOS House. Escalation is time-driven, not discretionary. Conduct complaints are exempted from the station tier entirely and route straight to the Directorate of Inspections &amp; Quality Assurance. Each transition is written to the ledger with its trigger — expiry, dissatisfaction, or direct recall.</w:t>
      </w:r>
    </w:p>
    <w:p>
      <w:pPr>
        <w:spacing w:before="180" w:after="40" w:line="260" w:lineRule="auto"/>
      </w:pPr>
      <w:r>
        <w:rPr>
          <w:rFonts w:ascii="Cormorant Garamond" w:hAnsi="Cormorant Garamond"/>
          <w:color w:val="1B1949"/>
          <w:sz w:val="24"/>
        </w:rPr>
        <w:t xml:space="preserve">03 · Docket Digitization Engine</w:t>
      </w:r>
    </w:p>
    <w:p>
      <w:pPr>
        <w:spacing w:before="0" w:after="140" w:line="260" w:lineRule="auto"/>
      </w:pPr>
      <w:r>
        <w:rPr>
          <w:rFonts w:ascii="Nunito" w:hAnsi="Nunito"/>
          <w:color w:val="3D3545"/>
          <w:sz w:val="20"/>
        </w:rPr>
        <w:t xml:space="preserve">An asynchronous queue accepting multi-page scans of dockets and petition letters. Optical character recognition extracts text and indexes CRB references, suspect names, charge particulars and perusal minutes for full-text search. Scanning does not block the officer: the file is queued, the officer moves on, and the extracted index appears against the record when processing completes.</w:t>
      </w:r>
    </w:p>
    <w:p>
      <w:pPr>
        <w:spacing w:before="180" w:after="40" w:line="260" w:lineRule="auto"/>
      </w:pPr>
      <w:r>
        <w:rPr>
          <w:rFonts w:ascii="Cormorant Garamond" w:hAnsi="Cormorant Garamond"/>
          <w:color w:val="1B1949"/>
          <w:sz w:val="24"/>
        </w:rPr>
        <w:t xml:space="preserve">04 · Immutable Movement Ledger</w:t>
      </w:r>
    </w:p>
    <w:p>
      <w:pPr>
        <w:spacing w:before="0" w:after="140" w:line="260" w:lineRule="auto"/>
      </w:pPr>
      <w:r>
        <w:rPr>
          <w:rFonts w:ascii="Nunito" w:hAnsi="Nunito"/>
          <w:color w:val="3D3545"/>
          <w:sz w:val="20"/>
        </w:rPr>
        <w:t xml:space="preserve">An append-only table recording every physical docket location change and every administrative order. Entries cannot be edited or deleted — a correction is itself a new entry. Each row is chained to its predecessor, so any tampering with the history is detectable. This is the evidentiary backbone of the platform and the reason an audit of any complaint can be reconstructed years later.</w:t>
      </w:r>
    </w:p>
    <w:p>
      <w:pPr>
        <w:spacing w:before="280" w:after="60" w:line="260" w:lineRule="auto"/>
      </w:pPr>
      <w:r>
        <w:rPr>
          <w:rFonts w:ascii="Cormorant Garamond" w:hAnsi="Cormorant Garamond"/>
          <w:color w:val="1B1949"/>
          <w:sz w:val="30"/>
        </w:rPr>
        <w:t xml:space="preserve">4. How a complaint moves</w:t>
      </w:r>
    </w:p>
    <w:p>
      <w:pPr>
        <w:spacing w:before="0" w:after="140" w:line="260" w:lineRule="auto"/>
      </w:pPr>
      <w:r>
        <w:rPr>
          <w:rFonts w:ascii="Nunito" w:hAnsi="Nunito"/>
          <w:color w:val="3D3545"/>
          <w:sz w:val="20"/>
        </w:rPr>
        <w:t xml:space="preserve">The full decision logic is set out in the companion document, Complaint Flow Algorithm. In summary:</w:t>
      </w:r>
    </w:p>
    <w:p>
      <w:pPr>
        <w:spacing w:before="0" w:after="60" w:line="260" w:lineRule="auto"/>
        <w:ind w:left="240" w:hanging="0"/>
      </w:pPr>
      <w:r>
        <w:rPr>
          <w:rFonts w:ascii="Nunito" w:hAnsi="Nunito"/>
          <w:b/>
          <w:color w:val="870C71"/>
          <w:sz w:val="20"/>
        </w:rPr>
        <w:t xml:space="preserve">•   </w:t>
      </w:r>
      <w:r>
        <w:rPr>
          <w:rFonts w:ascii="Nunito" w:hAnsi="Nunito"/>
          <w:color w:val="3D3545"/>
          <w:sz w:val="20"/>
        </w:rPr>
        <w:t xml:space="preserve">Ingestion and anchor registration. The complaint enters through one of four channels and binds immediately to crb_number. A tracking code is issued to the complainant.</w:t>
      </w:r>
    </w:p>
    <w:p>
      <w:pPr>
        <w:spacing w:before="0" w:after="60" w:line="260" w:lineRule="auto"/>
        <w:ind w:left="240" w:hanging="0"/>
      </w:pPr>
      <w:r>
        <w:rPr>
          <w:rFonts w:ascii="Nunito" w:hAnsi="Nunito"/>
          <w:b/>
          <w:color w:val="870C71"/>
          <w:sz w:val="20"/>
        </w:rPr>
        <w:t xml:space="preserve">•   </w:t>
      </w:r>
      <w:r>
        <w:rPr>
          <w:rFonts w:ascii="Nunito" w:hAnsi="Nunito"/>
          <w:color w:val="3D3545"/>
          <w:sz w:val="20"/>
        </w:rPr>
        <w:t xml:space="preserve">Category triage. Conduct complaints — misconduct, bribery, file suppression — route directly to HQ Inspections, bypassing the local station to prevent tampering. Process-decision complaints route to the local Resident State Attorney for re-examination of the docket.</w:t>
      </w:r>
    </w:p>
    <w:p>
      <w:pPr>
        <w:spacing w:before="0" w:after="60" w:line="260" w:lineRule="auto"/>
        <w:ind w:left="240" w:hanging="0"/>
      </w:pPr>
      <w:r>
        <w:rPr>
          <w:rFonts w:ascii="Nunito" w:hAnsi="Nunito"/>
          <w:b/>
          <w:color w:val="870C71"/>
          <w:sz w:val="20"/>
        </w:rPr>
        <w:t xml:space="preserve">•   </w:t>
      </w:r>
      <w:r>
        <w:rPr>
          <w:rFonts w:ascii="Nunito" w:hAnsi="Nunito"/>
          <w:color w:val="3D3545"/>
          <w:sz w:val="20"/>
        </w:rPr>
        <w:t xml:space="preserve">SLA monitoring. Background tasks track every open complaint. Where the RSA has not resolved the petition within the 7-day window, the state advances to ESCALATED_REGIONAL automatically.</w:t>
      </w:r>
    </w:p>
    <w:p>
      <w:pPr>
        <w:spacing w:before="0" w:after="60" w:line="260" w:lineRule="auto"/>
        <w:ind w:left="240" w:hanging="0"/>
      </w:pPr>
      <w:r>
        <w:rPr>
          <w:rFonts w:ascii="Nunito" w:hAnsi="Nunito"/>
          <w:b/>
          <w:color w:val="870C71"/>
          <w:sz w:val="20"/>
        </w:rPr>
        <w:t xml:space="preserve">•   </w:t>
      </w:r>
      <w:r>
        <w:rPr>
          <w:rFonts w:ascii="Nunito" w:hAnsi="Nunito"/>
          <w:color w:val="3D3545"/>
          <w:sz w:val="20"/>
        </w:rPr>
        <w:t xml:space="preserve">Regional review. The Regional Officer either issues a directive and closes, or — on a second expiry or a recorded dissatisfaction — the matter escalates to the DPP Executive Office.</w:t>
      </w:r>
    </w:p>
    <w:p>
      <w:pPr>
        <w:spacing w:before="0" w:after="60" w:line="260" w:lineRule="auto"/>
        <w:ind w:left="240" w:hanging="0"/>
      </w:pPr>
      <w:r>
        <w:rPr>
          <w:rFonts w:ascii="Nunito" w:hAnsi="Nunito"/>
          <w:b/>
          <w:color w:val="870C71"/>
          <w:sz w:val="20"/>
        </w:rPr>
        <w:t xml:space="preserve">•   </w:t>
      </w:r>
      <w:r>
        <w:rPr>
          <w:rFonts w:ascii="Nunito" w:hAnsi="Nunito"/>
          <w:color w:val="3D3545"/>
          <w:sz w:val="20"/>
        </w:rPr>
        <w:t xml:space="preserve">Recall and binding directive. The DPP issues a File Recall Order, written to the ledger, and the master docket status updates to REINSTATED or SANCTIONED.</w:t>
      </w:r>
    </w:p>
    <w:p>
      <w:pPr>
        <w:spacing w:before="280" w:after="60" w:line="260" w:lineRule="auto"/>
      </w:pPr>
      <w:r>
        <w:rPr>
          <w:rFonts w:ascii="Cormorant Garamond" w:hAnsi="Cormorant Garamond"/>
          <w:color w:val="1B1949"/>
          <w:sz w:val="30"/>
        </w:rPr>
        <w:t xml:space="preserve">5. Engagement model</w:t>
      </w:r>
    </w:p>
    <w:p>
      <w:pPr>
        <w:spacing w:before="0" w:after="140" w:line="260" w:lineRule="auto"/>
      </w:pPr>
      <w:r>
        <w:rPr>
          <w:rFonts w:ascii="Nunito" w:hAnsi="Nunito"/>
          <w:color w:val="3D3545"/>
          <w:sz w:val="20"/>
        </w:rPr>
        <w:t xml:space="preserve">The engagement is deliberately front-loaded with proof. We do not ask the Directorate to commit to a production programme on the strength of a document. We ask for eighteen days and a single point of contact.</w:t>
      </w:r>
    </w:p>
    <w:tbl>
      <w:tblPr>
        <w:tblW w:w="9840" w:type="dxa"/>
        <w:tblLayout w:type="fixed"/>
        <w:tblBorders>
          <w:top w:val="nil"/>
          <w:bottom w:val="nil"/>
          <w:left w:val="nil"/>
          <w:right w:val="nil"/>
          <w:insideH w:val="nil"/>
          <w:insideV w:val="nil"/>
        </w:tblBorders>
      </w:tblPr>
      <w:tblGrid>
        <w:gridCol w:w="1500"/>
        <w:gridCol w:w="3400"/>
        <w:gridCol w:w="4940"/>
      </w:tblGrid>
      <w:tr>
        <w:trPr>
          <w:cantSplit/>
        </w:trPr>
        <w:tc>
          <w:tcPr>
            <w:tcW w:w="1500" w:type="dxa"/>
            <w:tcBorders>
              <w:top w:val="nil" w:sz="6" w:color="E2DCE8"/>
              <w:bottom w:val="single" w:sz="14" w:color="1B1949"/>
              <w:left w:val="nil"/>
              <w:right w:val="nil"/>
            </w:tcBorders>
            <w:tcMar>
              <w:top w:w="70" w:type="dxa"/>
              <w:bottom w:w="70" w:type="dxa"/>
              <w:left w:w="60" w:type="dxa"/>
              <w:right w:w="90" w:type="dxa"/>
            </w:tcMar>
            <w:vAlign w:val="top"/>
          </w:tcPr>
          <w:p>
            <w:pPr>
              <w:spacing w:before="0" w:after="0" w:line="240" w:lineRule="auto"/>
            </w:pPr>
            <w:r>
              <w:rPr>
                <w:rFonts w:ascii="Nunito" w:hAnsi="Nunito"/>
                <w:b/>
                <w:caps/>
                <w:color w:val="1B1949"/>
                <w:sz w:val="15"/>
                <w:spacing w:val="22"/>
              </w:rPr>
              <w:t xml:space="preserve">Window</w:t>
            </w:r>
          </w:p>
        </w:tc>
        <w:tc>
          <w:tcPr>
            <w:tcW w:w="3400" w:type="dxa"/>
            <w:tcBorders>
              <w:top w:val="nil" w:sz="6" w:color="E2DCE8"/>
              <w:bottom w:val="single" w:sz="14" w:color="1B1949"/>
              <w:left w:val="nil"/>
              <w:right w:val="nil"/>
            </w:tcBorders>
            <w:tcMar>
              <w:top w:w="70" w:type="dxa"/>
              <w:bottom w:w="70" w:type="dxa"/>
              <w:left w:w="60" w:type="dxa"/>
              <w:right w:w="90" w:type="dxa"/>
            </w:tcMar>
            <w:vAlign w:val="top"/>
          </w:tcPr>
          <w:p>
            <w:pPr>
              <w:spacing w:before="0" w:after="0" w:line="240" w:lineRule="auto"/>
            </w:pPr>
            <w:r>
              <w:rPr>
                <w:rFonts w:ascii="Nunito" w:hAnsi="Nunito"/>
                <w:b/>
                <w:caps/>
                <w:color w:val="1B1949"/>
                <w:sz w:val="15"/>
                <w:spacing w:val="22"/>
              </w:rPr>
              <w:t xml:space="preserve">Stage</w:t>
            </w:r>
          </w:p>
        </w:tc>
        <w:tc>
          <w:tcPr>
            <w:tcW w:w="4940" w:type="dxa"/>
            <w:tcBorders>
              <w:top w:val="nil" w:sz="6" w:color="E2DCE8"/>
              <w:bottom w:val="single" w:sz="14" w:color="1B1949"/>
              <w:left w:val="nil"/>
              <w:right w:val="nil"/>
            </w:tcBorders>
            <w:tcMar>
              <w:top w:w="70" w:type="dxa"/>
              <w:bottom w:w="70" w:type="dxa"/>
              <w:left w:w="60" w:type="dxa"/>
              <w:right w:w="90" w:type="dxa"/>
            </w:tcMar>
            <w:vAlign w:val="top"/>
          </w:tcPr>
          <w:p>
            <w:pPr>
              <w:spacing w:before="0" w:after="0" w:line="240" w:lineRule="auto"/>
            </w:pPr>
            <w:r>
              <w:rPr>
                <w:rFonts w:ascii="Nunito" w:hAnsi="Nunito"/>
                <w:b/>
                <w:caps/>
                <w:color w:val="870C71"/>
                <w:sz w:val="15"/>
                <w:spacing w:val="22"/>
              </w:rPr>
              <w:t xml:space="preserve">Tangible output</w:t>
            </w:r>
          </w:p>
        </w:tc>
      </w:tr>
      <w:tr>
        <w:trPr>
          <w:cantSplit/>
        </w:trPr>
        <w:tc>
          <w:tcPr>
            <w:tcW w:w="1500" w:type="dxa"/>
            <w:tcBorders>
              <w:top w:val="nil" w:sz="6" w:color="E2DCE8"/>
              <w:bottom w:val="single" w:sz="6" w:color="E2DCE8"/>
              <w:left w:val="nil"/>
              <w:right w:val="nil"/>
            </w:tcBorders>
            <w:tcMar>
              <w:top w:w="70" w:type="dxa"/>
              <w:bottom w:w="70" w:type="dxa"/>
              <w:left w:w="60" w:type="dxa"/>
              <w:right w:w="90" w:type="dxa"/>
            </w:tcMar>
            <w:vAlign w:val="top"/>
          </w:tcPr>
          <w:p>
            <w:pPr>
              <w:spacing w:before="0" w:after="0" w:line="240" w:lineRule="auto"/>
            </w:pPr>
            <w:r>
              <w:rPr>
                <w:rFonts w:ascii="Nunito" w:hAnsi="Nunito"/>
                <w:b/>
                <w:color w:val="870C71"/>
                <w:sz w:val="18"/>
              </w:rPr>
              <w:t xml:space="preserve">Days 1–3</w:t>
            </w:r>
          </w:p>
        </w:tc>
        <w:tc>
          <w:tcPr>
            <w:tcW w:w="3400" w:type="dxa"/>
            <w:tcBorders>
              <w:top w:val="nil" w:sz="6" w:color="E2DCE8"/>
              <w:bottom w:val="single" w:sz="6" w:color="E2DCE8"/>
              <w:left w:val="nil"/>
              <w:right w:val="nil"/>
            </w:tcBorders>
            <w:tcMar>
              <w:top w:w="70" w:type="dxa"/>
              <w:bottom w:w="70" w:type="dxa"/>
              <w:left w:w="60" w:type="dxa"/>
              <w:right w:w="90" w:type="dxa"/>
            </w:tcMar>
            <w:vAlign w:val="top"/>
          </w:tcPr>
          <w:p>
            <w:pPr>
              <w:spacing w:before="0" w:after="0" w:line="240" w:lineRule="auto"/>
            </w:pPr>
            <w:r>
              <w:rPr>
                <w:rFonts w:ascii="Nunito" w:hAnsi="Nunito"/>
                <w:b/>
                <w:color w:val="1B1949"/>
                <w:sz w:val="18"/>
              </w:rPr>
              <w:t xml:space="preserve">SPOC alignment &amp; discovery scope</w:t>
            </w:r>
          </w:p>
        </w:tc>
        <w:tc>
          <w:tcPr>
            <w:tcW w:w="4940" w:type="dxa"/>
            <w:tcBorders>
              <w:top w:val="nil" w:sz="6" w:color="E2DCE8"/>
              <w:bottom w:val="single" w:sz="6" w:color="E2DCE8"/>
              <w:left w:val="nil"/>
              <w:right w:val="nil"/>
            </w:tcBorders>
            <w:tcMar>
              <w:top w:w="70" w:type="dxa"/>
              <w:bottom w:w="70" w:type="dxa"/>
              <w:left w:w="60" w:type="dxa"/>
              <w:right w:w="90" w:type="dxa"/>
            </w:tcMar>
            <w:vAlign w:val="top"/>
          </w:tcPr>
          <w:p>
            <w:pPr>
              <w:spacing w:before="0" w:after="0" w:line="240" w:lineRule="auto"/>
            </w:pPr>
            <w:r>
              <w:rPr>
                <w:rFonts w:ascii="Nunito" w:hAnsi="Nunito"/>
                <w:color w:val="3D3545"/>
                <w:sz w:val="18"/>
              </w:rPr>
              <w:t xml:space="preserve">2-page Scope Alignment Document; Data Schema Draft; Data Flow Diagram and Domain Field Dictionary</w:t>
            </w:r>
          </w:p>
        </w:tc>
      </w:tr>
      <w:tr>
        <w:trPr>
          <w:cantSplit/>
        </w:trPr>
        <w:tc>
          <w:tcPr>
            <w:tcW w:w="1500" w:type="dxa"/>
            <w:tcBorders>
              <w:top w:val="nil" w:sz="6" w:color="E2DCE8"/>
              <w:bottom w:val="single" w:sz="6" w:color="E2DCE8"/>
              <w:left w:val="nil"/>
              <w:right w:val="nil"/>
            </w:tcBorders>
            <w:tcMar>
              <w:top w:w="70" w:type="dxa"/>
              <w:bottom w:w="70" w:type="dxa"/>
              <w:left w:w="60" w:type="dxa"/>
              <w:right w:w="90" w:type="dxa"/>
            </w:tcMar>
            <w:vAlign w:val="top"/>
          </w:tcPr>
          <w:p>
            <w:pPr>
              <w:spacing w:before="0" w:after="0" w:line="240" w:lineRule="auto"/>
            </w:pPr>
            <w:r>
              <w:rPr>
                <w:rFonts w:ascii="Nunito" w:hAnsi="Nunito"/>
                <w:b/>
                <w:color w:val="870C71"/>
                <w:sz w:val="18"/>
              </w:rPr>
              <w:t xml:space="preserve">Days 4–8</w:t>
            </w:r>
          </w:p>
        </w:tc>
        <w:tc>
          <w:tcPr>
            <w:tcW w:w="3400" w:type="dxa"/>
            <w:tcBorders>
              <w:top w:val="nil" w:sz="6" w:color="E2DCE8"/>
              <w:bottom w:val="single" w:sz="6" w:color="E2DCE8"/>
              <w:left w:val="nil"/>
              <w:right w:val="nil"/>
            </w:tcBorders>
            <w:tcMar>
              <w:top w:w="70" w:type="dxa"/>
              <w:bottom w:w="70" w:type="dxa"/>
              <w:left w:w="60" w:type="dxa"/>
              <w:right w:w="90" w:type="dxa"/>
            </w:tcMar>
            <w:vAlign w:val="top"/>
          </w:tcPr>
          <w:p>
            <w:pPr>
              <w:spacing w:before="0" w:after="0" w:line="240" w:lineRule="auto"/>
            </w:pPr>
            <w:r>
              <w:rPr>
                <w:rFonts w:ascii="Nunito" w:hAnsi="Nunito"/>
                <w:b/>
                <w:color w:val="1B1949"/>
                <w:sz w:val="18"/>
              </w:rPr>
              <w:t xml:space="preserve">Core database &amp; escalation engine</w:t>
            </w:r>
          </w:p>
        </w:tc>
        <w:tc>
          <w:tcPr>
            <w:tcW w:w="4940" w:type="dxa"/>
            <w:tcBorders>
              <w:top w:val="nil" w:sz="6" w:color="E2DCE8"/>
              <w:bottom w:val="single" w:sz="6" w:color="E2DCE8"/>
              <w:left w:val="nil"/>
              <w:right w:val="nil"/>
            </w:tcBorders>
            <w:tcMar>
              <w:top w:w="70" w:type="dxa"/>
              <w:bottom w:w="70" w:type="dxa"/>
              <w:left w:w="60" w:type="dxa"/>
              <w:right w:w="90" w:type="dxa"/>
            </w:tcMar>
            <w:vAlign w:val="top"/>
          </w:tcPr>
          <w:p>
            <w:pPr>
              <w:spacing w:before="0" w:after="0" w:line="240" w:lineRule="auto"/>
            </w:pPr>
            <w:r>
              <w:rPr>
                <w:rFonts w:ascii="Nunito" w:hAnsi="Nunito"/>
                <w:color w:val="3D3545"/>
                <w:sz w:val="18"/>
              </w:rPr>
              <w:t xml:space="preserve">CRB-anchored data models, routing logic for both complaint categories, immutable audit ledger</w:t>
            </w:r>
          </w:p>
        </w:tc>
      </w:tr>
      <w:tr>
        <w:trPr>
          <w:cantSplit/>
        </w:trPr>
        <w:tc>
          <w:tcPr>
            <w:tcW w:w="1500" w:type="dxa"/>
            <w:tcBorders>
              <w:top w:val="nil" w:sz="6" w:color="E2DCE8"/>
              <w:bottom w:val="single" w:sz="6" w:color="E2DCE8"/>
              <w:left w:val="nil"/>
              <w:right w:val="nil"/>
            </w:tcBorders>
            <w:tcMar>
              <w:top w:w="70" w:type="dxa"/>
              <w:bottom w:w="70" w:type="dxa"/>
              <w:left w:w="60" w:type="dxa"/>
              <w:right w:w="90" w:type="dxa"/>
            </w:tcMar>
            <w:vAlign w:val="top"/>
          </w:tcPr>
          <w:p>
            <w:pPr>
              <w:spacing w:before="0" w:after="0" w:line="240" w:lineRule="auto"/>
            </w:pPr>
            <w:r>
              <w:rPr>
                <w:rFonts w:ascii="Nunito" w:hAnsi="Nunito"/>
                <w:b/>
                <w:color w:val="870C71"/>
                <w:sz w:val="18"/>
              </w:rPr>
              <w:t xml:space="preserve">Days 9–13</w:t>
            </w:r>
          </w:p>
        </w:tc>
        <w:tc>
          <w:tcPr>
            <w:tcW w:w="3400" w:type="dxa"/>
            <w:tcBorders>
              <w:top w:val="nil" w:sz="6" w:color="E2DCE8"/>
              <w:bottom w:val="single" w:sz="6" w:color="E2DCE8"/>
              <w:left w:val="nil"/>
              <w:right w:val="nil"/>
            </w:tcBorders>
            <w:tcMar>
              <w:top w:w="70" w:type="dxa"/>
              <w:bottom w:w="70" w:type="dxa"/>
              <w:left w:w="60" w:type="dxa"/>
              <w:right w:w="90" w:type="dxa"/>
            </w:tcMar>
            <w:vAlign w:val="top"/>
          </w:tcPr>
          <w:p>
            <w:pPr>
              <w:spacing w:before="0" w:after="0" w:line="240" w:lineRule="auto"/>
            </w:pPr>
            <w:r>
              <w:rPr>
                <w:rFonts w:ascii="Nunito" w:hAnsi="Nunito"/>
                <w:b/>
                <w:color w:val="1B1949"/>
                <w:sz w:val="18"/>
              </w:rPr>
              <w:t xml:space="preserve">Ingestion, OCR &amp; public gateway</w:t>
            </w:r>
          </w:p>
        </w:tc>
        <w:tc>
          <w:tcPr>
            <w:tcW w:w="4940" w:type="dxa"/>
            <w:tcBorders>
              <w:top w:val="nil" w:sz="6" w:color="E2DCE8"/>
              <w:bottom w:val="single" w:sz="6" w:color="E2DCE8"/>
              <w:left w:val="nil"/>
              <w:right w:val="nil"/>
            </w:tcBorders>
            <w:tcMar>
              <w:top w:w="70" w:type="dxa"/>
              <w:bottom w:w="70" w:type="dxa"/>
              <w:left w:w="60" w:type="dxa"/>
              <w:right w:w="90" w:type="dxa"/>
            </w:tcMar>
            <w:vAlign w:val="top"/>
          </w:tcPr>
          <w:p>
            <w:pPr>
              <w:spacing w:before="0" w:after="0" w:line="240" w:lineRule="auto"/>
            </w:pPr>
            <w:r>
              <w:rPr>
                <w:rFonts w:ascii="Nunito" w:hAnsi="Nunito"/>
                <w:color w:val="3D3545"/>
                <w:sz w:val="18"/>
              </w:rPr>
              <w:t xml:space="preserve">Document scanning pipeline, text extraction and indexing, public submission interface, RSA triage console</w:t>
            </w:r>
          </w:p>
        </w:tc>
      </w:tr>
      <w:tr>
        <w:trPr>
          <w:cantSplit/>
        </w:trPr>
        <w:tc>
          <w:tcPr>
            <w:tcW w:w="1500" w:type="dxa"/>
            <w:tcBorders>
              <w:top w:val="nil" w:sz="6" w:color="E2DCE8"/>
              <w:bottom w:val="single" w:sz="6" w:color="E2DCE8"/>
              <w:left w:val="nil"/>
              <w:right w:val="nil"/>
            </w:tcBorders>
            <w:tcMar>
              <w:top w:w="70" w:type="dxa"/>
              <w:bottom w:w="70" w:type="dxa"/>
              <w:left w:w="60" w:type="dxa"/>
              <w:right w:w="90" w:type="dxa"/>
            </w:tcMar>
            <w:vAlign w:val="top"/>
          </w:tcPr>
          <w:p>
            <w:pPr>
              <w:spacing w:before="0" w:after="0" w:line="240" w:lineRule="auto"/>
            </w:pPr>
            <w:r>
              <w:rPr>
                <w:rFonts w:ascii="Nunito" w:hAnsi="Nunito"/>
                <w:b/>
                <w:color w:val="870C71"/>
                <w:sz w:val="18"/>
              </w:rPr>
              <w:t xml:space="preserve">Days 14–16</w:t>
            </w:r>
          </w:p>
        </w:tc>
        <w:tc>
          <w:tcPr>
            <w:tcW w:w="3400" w:type="dxa"/>
            <w:tcBorders>
              <w:top w:val="nil" w:sz="6" w:color="E2DCE8"/>
              <w:bottom w:val="single" w:sz="6" w:color="E2DCE8"/>
              <w:left w:val="nil"/>
              <w:right w:val="nil"/>
            </w:tcBorders>
            <w:tcMar>
              <w:top w:w="70" w:type="dxa"/>
              <w:bottom w:w="70" w:type="dxa"/>
              <w:left w:w="60" w:type="dxa"/>
              <w:right w:w="90" w:type="dxa"/>
            </w:tcMar>
            <w:vAlign w:val="top"/>
          </w:tcPr>
          <w:p>
            <w:pPr>
              <w:spacing w:before="0" w:after="0" w:line="240" w:lineRule="auto"/>
            </w:pPr>
            <w:r>
              <w:rPr>
                <w:rFonts w:ascii="Nunito" w:hAnsi="Nunito"/>
                <w:b/>
                <w:color w:val="1B1949"/>
                <w:sz w:val="18"/>
              </w:rPr>
              <w:t xml:space="preserve">Lifecycle stress testing &amp; RBAC</w:t>
            </w:r>
          </w:p>
        </w:tc>
        <w:tc>
          <w:tcPr>
            <w:tcW w:w="4940" w:type="dxa"/>
            <w:tcBorders>
              <w:top w:val="nil" w:sz="6" w:color="E2DCE8"/>
              <w:bottom w:val="single" w:sz="6" w:color="E2DCE8"/>
              <w:left w:val="nil"/>
              <w:right w:val="nil"/>
            </w:tcBorders>
            <w:tcMar>
              <w:top w:w="70" w:type="dxa"/>
              <w:bottom w:w="70" w:type="dxa"/>
              <w:left w:w="60" w:type="dxa"/>
              <w:right w:w="90" w:type="dxa"/>
            </w:tcMar>
            <w:vAlign w:val="top"/>
          </w:tcPr>
          <w:p>
            <w:pPr>
              <w:spacing w:before="0" w:after="0" w:line="240" w:lineRule="auto"/>
            </w:pPr>
            <w:r>
              <w:rPr>
                <w:rFonts w:ascii="Nunito" w:hAnsi="Nunito"/>
                <w:color w:val="3D3545"/>
                <w:sz w:val="18"/>
              </w:rPr>
              <w:t xml:space="preserve">Full simulated escalation from station to DPP directive; role-based access controls locked down and tested</w:t>
            </w:r>
          </w:p>
        </w:tc>
      </w:tr>
      <w:tr>
        <w:trPr>
          <w:cantSplit/>
        </w:trPr>
        <w:tc>
          <w:tcPr>
            <w:tcW w:w="1500" w:type="dxa"/>
            <w:tcBorders>
              <w:top w:val="nil" w:sz="6" w:color="E2DCE8"/>
              <w:bottom w:val="single" w:sz="6" w:color="E2DCE8"/>
              <w:left w:val="nil"/>
              <w:right w:val="nil"/>
            </w:tcBorders>
            <w:tcMar>
              <w:top w:w="70" w:type="dxa"/>
              <w:bottom w:w="70" w:type="dxa"/>
              <w:left w:w="60" w:type="dxa"/>
              <w:right w:w="90" w:type="dxa"/>
            </w:tcMar>
            <w:vAlign w:val="top"/>
          </w:tcPr>
          <w:p>
            <w:pPr>
              <w:spacing w:before="0" w:after="0" w:line="240" w:lineRule="auto"/>
            </w:pPr>
            <w:r>
              <w:rPr>
                <w:rFonts w:ascii="Nunito" w:hAnsi="Nunito"/>
                <w:b/>
                <w:color w:val="870C71"/>
                <w:sz w:val="18"/>
              </w:rPr>
              <w:t xml:space="preserve">Days 17–18</w:t>
            </w:r>
          </w:p>
        </w:tc>
        <w:tc>
          <w:tcPr>
            <w:tcW w:w="3400" w:type="dxa"/>
            <w:tcBorders>
              <w:top w:val="nil" w:sz="6" w:color="E2DCE8"/>
              <w:bottom w:val="single" w:sz="6" w:color="E2DCE8"/>
              <w:left w:val="nil"/>
              <w:right w:val="nil"/>
            </w:tcBorders>
            <w:tcMar>
              <w:top w:w="70" w:type="dxa"/>
              <w:bottom w:w="70" w:type="dxa"/>
              <w:left w:w="60" w:type="dxa"/>
              <w:right w:w="90" w:type="dxa"/>
            </w:tcMar>
            <w:vAlign w:val="top"/>
          </w:tcPr>
          <w:p>
            <w:pPr>
              <w:spacing w:before="0" w:after="0" w:line="240" w:lineRule="auto"/>
            </w:pPr>
            <w:r>
              <w:rPr>
                <w:rFonts w:ascii="Nunito" w:hAnsi="Nunito"/>
                <w:b/>
                <w:color w:val="1B1949"/>
                <w:sz w:val="18"/>
              </w:rPr>
              <w:t xml:space="preserve">Presentation preparation</w:t>
            </w:r>
          </w:p>
        </w:tc>
        <w:tc>
          <w:tcPr>
            <w:tcW w:w="4940" w:type="dxa"/>
            <w:tcBorders>
              <w:top w:val="nil" w:sz="6" w:color="E2DCE8"/>
              <w:bottom w:val="single" w:sz="6" w:color="E2DCE8"/>
              <w:left w:val="nil"/>
              <w:right w:val="nil"/>
            </w:tcBorders>
            <w:tcMar>
              <w:top w:w="70" w:type="dxa"/>
              <w:bottom w:w="70" w:type="dxa"/>
              <w:left w:w="60" w:type="dxa"/>
              <w:right w:w="90" w:type="dxa"/>
            </w:tcMar>
            <w:vAlign w:val="top"/>
          </w:tcPr>
          <w:p>
            <w:pPr>
              <w:spacing w:before="0" w:after="0" w:line="240" w:lineRule="auto"/>
            </w:pPr>
            <w:r>
              <w:rPr>
                <w:rFonts w:ascii="Nunito" w:hAnsi="Nunito"/>
                <w:color w:val="3D3545"/>
                <w:sz w:val="18"/>
              </w:rPr>
              <w:t xml:space="preserve">Seeded regional dataset, offline-capable demonstration stack, rehearsed walkthrough for the DPP</w:t>
            </w:r>
          </w:p>
        </w:tc>
      </w:tr>
      <w:tr>
        <w:trPr>
          <w:cantSplit/>
        </w:trPr>
        <w:tc>
          <w:tcPr>
            <w:tcW w:w="1500" w:type="dxa"/>
            <w:tcBorders>
              <w:top w:val="nil" w:sz="6" w:color="E2DCE8"/>
              <w:bottom w:val="single" w:sz="6" w:color="E2DCE8"/>
              <w:left w:val="nil"/>
              <w:right w:val="nil"/>
            </w:tcBorders>
            <w:tcMar>
              <w:top w:w="70" w:type="dxa"/>
              <w:bottom w:w="70" w:type="dxa"/>
              <w:left w:w="60" w:type="dxa"/>
              <w:right w:w="90" w:type="dxa"/>
            </w:tcMar>
            <w:vAlign w:val="top"/>
          </w:tcPr>
          <w:p>
            <w:pPr>
              <w:spacing w:before="0" w:after="0" w:line="240" w:lineRule="auto"/>
            </w:pPr>
            <w:r>
              <w:rPr>
                <w:rFonts w:ascii="Nunito" w:hAnsi="Nunito"/>
                <w:b/>
                <w:color w:val="1B1949"/>
                <w:sz w:val="18"/>
              </w:rPr>
              <w:t xml:space="preserve">Weeks 4–13</w:t>
            </w:r>
          </w:p>
        </w:tc>
        <w:tc>
          <w:tcPr>
            <w:tcW w:w="3400" w:type="dxa"/>
            <w:tcBorders>
              <w:top w:val="nil" w:sz="6" w:color="E2DCE8"/>
              <w:bottom w:val="single" w:sz="6" w:color="E2DCE8"/>
              <w:left w:val="nil"/>
              <w:right w:val="nil"/>
            </w:tcBorders>
            <w:tcMar>
              <w:top w:w="70" w:type="dxa"/>
              <w:bottom w:w="70" w:type="dxa"/>
              <w:left w:w="60" w:type="dxa"/>
              <w:right w:w="90" w:type="dxa"/>
            </w:tcMar>
            <w:vAlign w:val="top"/>
          </w:tcPr>
          <w:p>
            <w:pPr>
              <w:spacing w:before="0" w:after="0" w:line="240" w:lineRule="auto"/>
            </w:pPr>
            <w:r>
              <w:rPr>
                <w:rFonts w:ascii="Nunito" w:hAnsi="Nunito"/>
                <w:b/>
                <w:color w:val="1B1949"/>
                <w:sz w:val="18"/>
              </w:rPr>
              <w:t xml:space="preserve">Production build &amp; handover</w:t>
            </w:r>
          </w:p>
        </w:tc>
        <w:tc>
          <w:tcPr>
            <w:tcW w:w="4940" w:type="dxa"/>
            <w:tcBorders>
              <w:top w:val="nil" w:sz="6" w:color="E2DCE8"/>
              <w:bottom w:val="single" w:sz="6" w:color="E2DCE8"/>
              <w:left w:val="nil"/>
              <w:right w:val="nil"/>
            </w:tcBorders>
            <w:tcMar>
              <w:top w:w="70" w:type="dxa"/>
              <w:bottom w:w="70" w:type="dxa"/>
              <w:left w:w="60" w:type="dxa"/>
              <w:right w:w="90" w:type="dxa"/>
            </w:tcMar>
            <w:vAlign w:val="top"/>
          </w:tcPr>
          <w:p>
            <w:pPr>
              <w:spacing w:before="0" w:after="0" w:line="240" w:lineRule="auto"/>
            </w:pPr>
            <w:r>
              <w:rPr>
                <w:rFonts w:ascii="Nunito" w:hAnsi="Nunito"/>
                <w:color w:val="3D3545"/>
                <w:sz w:val="18"/>
              </w:rPr>
              <w:t xml:space="preserve">Hardened platform, User Acceptance Testing with ICT and Inspections, pilot deployment, training and operations handover</w:t>
            </w:r>
          </w:p>
        </w:tc>
      </w:tr>
    </w:tbl>
    <w:p>
      <w:pPr>
        <w:spacing w:before="0" w:after="140" w:line="260" w:lineRule="auto"/>
      </w:pPr>
      <w:r>
        <w:rPr>
          <w:rFonts w:ascii="Nunito" w:hAnsi="Nunito"/>
          <w:color w:val="3D3545"/>
          <w:sz w:val="20"/>
        </w:rPr>
        <w:t xml:space="preserve">The Days 1–3 execution model is worth stating plainly, because it protects both parties. We do not enter a high-security government facility asking to audit registers. All access is mediated by the SPOC — the officer who invited us in — against a scope agreed in writing before any work begins. At the 72-hour mark the Directorate holds two finished documents it can circulate internally, whether or not the engagement proceeds.</w:t>
      </w:r>
    </w:p>
    <w:p>
      <w:pPr>
        <w:spacing w:before="280" w:after="60" w:line="260" w:lineRule="auto"/>
      </w:pPr>
      <w:r>
        <w:rPr>
          <w:rFonts w:ascii="Cormorant Garamond" w:hAnsi="Cormorant Garamond"/>
          <w:color w:val="1B1949"/>
          <w:sz w:val="30"/>
        </w:rPr>
        <w:t xml:space="preserve">6. Security &amp; access control</w:t>
      </w:r>
    </w:p>
    <w:p>
      <w:pPr>
        <w:spacing w:before="0" w:after="140" w:line="260" w:lineRule="auto"/>
      </w:pPr>
      <w:r>
        <w:rPr>
          <w:rFonts w:ascii="Nunito" w:hAnsi="Nunito"/>
          <w:color w:val="3D3545"/>
          <w:sz w:val="20"/>
        </w:rPr>
        <w:t xml:space="preserve">Role-based access control is not a configuration detail here — it is a substantive safeguard. An officer who is the subject of an active conduct complaint cannot view or edit the associated investigation file. That rule is enforced at the data layer, not the interface, so it cannot be circumvented by a direct query or an exported report.</w:t>
      </w:r>
    </w:p>
    <w:p>
      <w:pPr>
        <w:spacing w:before="0" w:after="140" w:line="260" w:lineRule="auto"/>
      </w:pPr>
      <w:r>
        <w:rPr>
          <w:rFonts w:ascii="Nunito" w:hAnsi="Nunito"/>
          <w:color w:val="3D3545"/>
          <w:sz w:val="20"/>
        </w:rPr>
        <w:t xml:space="preserve">Beyond conflict isolation: all complaint data remains within infrastructure controlled by the Directorate; the demonstration stack is fully offline and isolated; personally identifying complainant details are visible only to intake and the assigned handling officer; and every read of a sensitive record is logged alongside every write. The full-text search index inherits the same access boundaries as the records it points at.</w:t>
      </w:r>
    </w:p>
    <w:p>
      <w:pPr>
        <w:spacing w:before="280" w:after="60" w:line="260" w:lineRule="auto"/>
      </w:pPr>
      <w:r>
        <w:rPr>
          <w:rFonts w:ascii="Cormorant Garamond" w:hAnsi="Cormorant Garamond"/>
          <w:color w:val="1B1949"/>
          <w:sz w:val="30"/>
        </w:rPr>
        <w:t xml:space="preserve">7. What we ask of the Directorate</w:t>
      </w:r>
    </w:p>
    <w:p>
      <w:pPr>
        <w:spacing w:before="0" w:after="140" w:line="260" w:lineRule="auto"/>
      </w:pPr>
      <w:r>
        <w:rPr>
          <w:rFonts w:ascii="Nunito" w:hAnsi="Nunito"/>
          <w:color w:val="3D3545"/>
          <w:sz w:val="20"/>
        </w:rPr>
        <w:t xml:space="preserve">Five artefacts, requested through the SPOC on Day 1. Nothing else is required of ODPP staff during the Proof of Concept.</w:t>
      </w:r>
    </w:p>
    <w:tbl>
      <w:tblPr>
        <w:tblW w:w="9840" w:type="dxa"/>
        <w:tblLayout w:type="fixed"/>
        <w:tblBorders>
          <w:top w:val="nil"/>
          <w:bottom w:val="nil"/>
          <w:left w:val="nil"/>
          <w:right w:val="nil"/>
          <w:insideH w:val="nil"/>
          <w:insideV w:val="nil"/>
        </w:tblBorders>
      </w:tblPr>
      <w:tblGrid>
        <w:gridCol w:w="3200"/>
        <w:gridCol w:w="6640"/>
      </w:tblGrid>
      <w:tr>
        <w:trPr>
          <w:cantSplit/>
        </w:trPr>
        <w:tc>
          <w:tcPr>
            <w:tcW w:w="3200" w:type="dxa"/>
            <w:tcBorders>
              <w:top w:val="nil" w:sz="6" w:color="E2DCE8"/>
              <w:bottom w:val="single" w:sz="14" w:color="1B1949"/>
              <w:left w:val="nil"/>
              <w:right w:val="nil"/>
            </w:tcBorders>
            <w:tcMar>
              <w:top w:w="70" w:type="dxa"/>
              <w:bottom w:w="70" w:type="dxa"/>
              <w:left w:w="60" w:type="dxa"/>
              <w:right w:w="90" w:type="dxa"/>
            </w:tcMar>
            <w:vAlign w:val="top"/>
          </w:tcPr>
          <w:p>
            <w:pPr>
              <w:spacing w:before="0" w:after="0" w:line="240" w:lineRule="auto"/>
            </w:pPr>
            <w:r>
              <w:rPr>
                <w:rFonts w:ascii="Nunito" w:hAnsi="Nunito"/>
                <w:b/>
                <w:caps/>
                <w:color w:val="1B1949"/>
                <w:sz w:val="15"/>
                <w:spacing w:val="22"/>
              </w:rPr>
              <w:t xml:space="preserve">Artefact</w:t>
            </w:r>
          </w:p>
        </w:tc>
        <w:tc>
          <w:tcPr>
            <w:tcW w:w="6640" w:type="dxa"/>
            <w:tcBorders>
              <w:top w:val="nil" w:sz="6" w:color="E2DCE8"/>
              <w:bottom w:val="single" w:sz="14" w:color="1B1949"/>
              <w:left w:val="nil"/>
              <w:right w:val="nil"/>
            </w:tcBorders>
            <w:tcMar>
              <w:top w:w="70" w:type="dxa"/>
              <w:bottom w:w="70" w:type="dxa"/>
              <w:left w:w="60" w:type="dxa"/>
              <w:right w:w="90" w:type="dxa"/>
            </w:tcMar>
            <w:vAlign w:val="top"/>
          </w:tcPr>
          <w:p>
            <w:pPr>
              <w:spacing w:before="0" w:after="0" w:line="240" w:lineRule="auto"/>
            </w:pPr>
            <w:r>
              <w:rPr>
                <w:rFonts w:ascii="Nunito" w:hAnsi="Nunito"/>
                <w:b/>
                <w:caps/>
                <w:color w:val="870C71"/>
                <w:sz w:val="15"/>
                <w:spacing w:val="22"/>
              </w:rPr>
              <w:t xml:space="preserve">Why it is needed</w:t>
            </w:r>
          </w:p>
        </w:tc>
      </w:tr>
      <w:tr>
        <w:trPr>
          <w:cantSplit/>
        </w:trPr>
        <w:tc>
          <w:tcPr>
            <w:tcW w:w="3200" w:type="dxa"/>
            <w:tcBorders>
              <w:top w:val="nil" w:sz="6" w:color="E2DCE8"/>
              <w:bottom w:val="single" w:sz="6" w:color="E2DCE8"/>
              <w:left w:val="nil"/>
              <w:right w:val="nil"/>
            </w:tcBorders>
            <w:tcMar>
              <w:top w:w="70" w:type="dxa"/>
              <w:bottom w:w="70" w:type="dxa"/>
              <w:left w:w="60" w:type="dxa"/>
              <w:right w:w="90" w:type="dxa"/>
            </w:tcMar>
            <w:vAlign w:val="top"/>
          </w:tcPr>
          <w:p>
            <w:pPr>
              <w:spacing w:before="0" w:after="0" w:line="240" w:lineRule="auto"/>
            </w:pPr>
            <w:r>
              <w:rPr>
                <w:rFonts w:ascii="Nunito" w:hAnsi="Nunito"/>
                <w:b/>
                <w:color w:val="1B1949"/>
                <w:sz w:val="18"/>
              </w:rPr>
              <w:t xml:space="preserve">Standard complaint intake schema</w:t>
            </w:r>
          </w:p>
        </w:tc>
        <w:tc>
          <w:tcPr>
            <w:tcW w:w="6640" w:type="dxa"/>
            <w:tcBorders>
              <w:top w:val="nil" w:sz="6" w:color="E2DCE8"/>
              <w:bottom w:val="single" w:sz="6" w:color="E2DCE8"/>
              <w:left w:val="nil"/>
              <w:right w:val="nil"/>
            </w:tcBorders>
            <w:tcMar>
              <w:top w:w="70" w:type="dxa"/>
              <w:bottom w:w="70" w:type="dxa"/>
              <w:left w:w="60" w:type="dxa"/>
              <w:right w:w="90" w:type="dxa"/>
            </w:tcMar>
            <w:vAlign w:val="top"/>
          </w:tcPr>
          <w:p>
            <w:pPr>
              <w:spacing w:before="0" w:after="0" w:line="240" w:lineRule="auto"/>
            </w:pPr>
            <w:r>
              <w:rPr>
                <w:rFonts w:ascii="Nunito" w:hAnsi="Nunito"/>
                <w:color w:val="3D3545"/>
                <w:sz w:val="18"/>
              </w:rPr>
              <w:t xml:space="preserve">The exact data fields recorded today when a citizen or attorney lodges a petition, so the digital form matches existing practice rather than replacing it</w:t>
            </w:r>
          </w:p>
        </w:tc>
      </w:tr>
      <w:tr>
        <w:trPr>
          <w:cantSplit/>
        </w:trPr>
        <w:tc>
          <w:tcPr>
            <w:tcW w:w="3200" w:type="dxa"/>
            <w:tcBorders>
              <w:top w:val="nil" w:sz="6" w:color="E2DCE8"/>
              <w:bottom w:val="single" w:sz="6" w:color="E2DCE8"/>
              <w:left w:val="nil"/>
              <w:right w:val="nil"/>
            </w:tcBorders>
            <w:tcMar>
              <w:top w:w="70" w:type="dxa"/>
              <w:bottom w:w="70" w:type="dxa"/>
              <w:left w:w="60" w:type="dxa"/>
              <w:right w:w="90" w:type="dxa"/>
            </w:tcMar>
            <w:vAlign w:val="top"/>
          </w:tcPr>
          <w:p>
            <w:pPr>
              <w:spacing w:before="0" w:after="0" w:line="240" w:lineRule="auto"/>
            </w:pPr>
            <w:r>
              <w:rPr>
                <w:rFonts w:ascii="Nunito" w:hAnsi="Nunito"/>
                <w:b/>
                <w:color w:val="1B1949"/>
                <w:sz w:val="18"/>
              </w:rPr>
              <w:t xml:space="preserve">Three redacted forms</w:t>
            </w:r>
          </w:p>
        </w:tc>
        <w:tc>
          <w:tcPr>
            <w:tcW w:w="6640" w:type="dxa"/>
            <w:tcBorders>
              <w:top w:val="nil" w:sz="6" w:color="E2DCE8"/>
              <w:bottom w:val="single" w:sz="6" w:color="E2DCE8"/>
              <w:left w:val="nil"/>
              <w:right w:val="nil"/>
            </w:tcBorders>
            <w:tcMar>
              <w:top w:w="70" w:type="dxa"/>
              <w:bottom w:w="70" w:type="dxa"/>
              <w:left w:w="60" w:type="dxa"/>
              <w:right w:w="90" w:type="dxa"/>
            </w:tcMar>
            <w:vAlign w:val="top"/>
          </w:tcPr>
          <w:p>
            <w:pPr>
              <w:spacing w:before="0" w:after="0" w:line="240" w:lineRule="auto"/>
            </w:pPr>
            <w:r>
              <w:rPr>
                <w:rFonts w:ascii="Nunito" w:hAnsi="Nunito"/>
                <w:color w:val="3D3545"/>
                <w:sz w:val="18"/>
              </w:rPr>
              <w:t xml:space="preserve">A Complaint Lodgement Form, a Perusal Minute Sheet and a File Recall Order — the templates the system must reproduce faithfully</w:t>
            </w:r>
          </w:p>
        </w:tc>
      </w:tr>
      <w:tr>
        <w:trPr>
          <w:cantSplit/>
        </w:trPr>
        <w:tc>
          <w:tcPr>
            <w:tcW w:w="3200" w:type="dxa"/>
            <w:tcBorders>
              <w:top w:val="nil" w:sz="6" w:color="E2DCE8"/>
              <w:bottom w:val="single" w:sz="6" w:color="E2DCE8"/>
              <w:left w:val="nil"/>
              <w:right w:val="nil"/>
            </w:tcBorders>
            <w:tcMar>
              <w:top w:w="70" w:type="dxa"/>
              <w:bottom w:w="70" w:type="dxa"/>
              <w:left w:w="60" w:type="dxa"/>
              <w:right w:w="90" w:type="dxa"/>
            </w:tcMar>
            <w:vAlign w:val="top"/>
          </w:tcPr>
          <w:p>
            <w:pPr>
              <w:spacing w:before="0" w:after="0" w:line="240" w:lineRule="auto"/>
            </w:pPr>
            <w:r>
              <w:rPr>
                <w:rFonts w:ascii="Nunito" w:hAnsi="Nunito"/>
                <w:b/>
                <w:color w:val="1B1949"/>
                <w:sz w:val="18"/>
              </w:rPr>
              <w:t xml:space="preserve">Sanitized sample docket</w:t>
            </w:r>
          </w:p>
        </w:tc>
        <w:tc>
          <w:tcPr>
            <w:tcW w:w="6640" w:type="dxa"/>
            <w:tcBorders>
              <w:top w:val="nil" w:sz="6" w:color="E2DCE8"/>
              <w:bottom w:val="single" w:sz="6" w:color="E2DCE8"/>
              <w:left w:val="nil"/>
              <w:right w:val="nil"/>
            </w:tcBorders>
            <w:tcMar>
              <w:top w:w="70" w:type="dxa"/>
              <w:bottom w:w="70" w:type="dxa"/>
              <w:left w:w="60" w:type="dxa"/>
              <w:right w:w="90" w:type="dxa"/>
            </w:tcMar>
            <w:vAlign w:val="top"/>
          </w:tcPr>
          <w:p>
            <w:pPr>
              <w:spacing w:before="0" w:after="0" w:line="240" w:lineRule="auto"/>
            </w:pPr>
            <w:r>
              <w:rPr>
                <w:rFonts w:ascii="Nunito" w:hAnsi="Nunito"/>
                <w:color w:val="3D3545"/>
                <w:sz w:val="18"/>
              </w:rPr>
              <w:t xml:space="preserve">A redacted multi-page file — charge sheet, Police Form 3, perusal sheet — to calibrate and test the OCR extraction pipeline against real documents</w:t>
            </w:r>
          </w:p>
        </w:tc>
      </w:tr>
      <w:tr>
        <w:trPr>
          <w:cantSplit/>
        </w:trPr>
        <w:tc>
          <w:tcPr>
            <w:tcW w:w="3200" w:type="dxa"/>
            <w:tcBorders>
              <w:top w:val="nil" w:sz="6" w:color="E2DCE8"/>
              <w:bottom w:val="single" w:sz="6" w:color="E2DCE8"/>
              <w:left w:val="nil"/>
              <w:right w:val="nil"/>
            </w:tcBorders>
            <w:tcMar>
              <w:top w:w="70" w:type="dxa"/>
              <w:bottom w:w="70" w:type="dxa"/>
              <w:left w:w="60" w:type="dxa"/>
              <w:right w:w="90" w:type="dxa"/>
            </w:tcMar>
            <w:vAlign w:val="top"/>
          </w:tcPr>
          <w:p>
            <w:pPr>
              <w:spacing w:before="0" w:after="0" w:line="240" w:lineRule="auto"/>
            </w:pPr>
            <w:r>
              <w:rPr>
                <w:rFonts w:ascii="Nunito" w:hAnsi="Nunito"/>
                <w:b/>
                <w:color w:val="1B1949"/>
                <w:sz w:val="18"/>
              </w:rPr>
              <w:t xml:space="preserve">Nomenclature &amp; station directory</w:t>
            </w:r>
          </w:p>
        </w:tc>
        <w:tc>
          <w:tcPr>
            <w:tcW w:w="6640" w:type="dxa"/>
            <w:tcBorders>
              <w:top w:val="nil" w:sz="6" w:color="E2DCE8"/>
              <w:bottom w:val="single" w:sz="6" w:color="E2DCE8"/>
              <w:left w:val="nil"/>
              <w:right w:val="nil"/>
            </w:tcBorders>
            <w:tcMar>
              <w:top w:w="70" w:type="dxa"/>
              <w:bottom w:w="70" w:type="dxa"/>
              <w:left w:w="60" w:type="dxa"/>
              <w:right w:w="90" w:type="dxa"/>
            </w:tcMar>
            <w:vAlign w:val="top"/>
          </w:tcPr>
          <w:p>
            <w:pPr>
              <w:spacing w:before="0" w:after="0" w:line="240" w:lineRule="auto"/>
            </w:pPr>
            <w:r>
              <w:rPr>
                <w:rFonts w:ascii="Nunito" w:hAnsi="Nunito"/>
                <w:color w:val="3D3545"/>
                <w:sz w:val="18"/>
              </w:rPr>
              <w:t xml:space="preserve">CRB and SD reference formats, plus official naming codes and hierarchy for the Regional Offices and their attached RSA court stations</w:t>
            </w:r>
          </w:p>
        </w:tc>
      </w:tr>
      <w:tr>
        <w:trPr>
          <w:cantSplit/>
        </w:trPr>
        <w:tc>
          <w:tcPr>
            <w:tcW w:w="3200" w:type="dxa"/>
            <w:tcBorders>
              <w:top w:val="nil" w:sz="6" w:color="E2DCE8"/>
              <w:bottom w:val="single" w:sz="6" w:color="E2DCE8"/>
              <w:left w:val="nil"/>
              <w:right w:val="nil"/>
            </w:tcBorders>
            <w:tcMar>
              <w:top w:w="70" w:type="dxa"/>
              <w:bottom w:w="70" w:type="dxa"/>
              <w:left w:w="60" w:type="dxa"/>
              <w:right w:w="90" w:type="dxa"/>
            </w:tcMar>
            <w:vAlign w:val="top"/>
          </w:tcPr>
          <w:p>
            <w:pPr>
              <w:spacing w:before="0" w:after="0" w:line="240" w:lineRule="auto"/>
            </w:pPr>
            <w:r>
              <w:rPr>
                <w:rFonts w:ascii="Nunito" w:hAnsi="Nunito"/>
                <w:b/>
                <w:color w:val="1B1949"/>
                <w:sz w:val="18"/>
              </w:rPr>
              <w:t xml:space="preserve">Target service delivery SLAs</w:t>
            </w:r>
          </w:p>
        </w:tc>
        <w:tc>
          <w:tcPr>
            <w:tcW w:w="6640" w:type="dxa"/>
            <w:tcBorders>
              <w:top w:val="nil" w:sz="6" w:color="E2DCE8"/>
              <w:bottom w:val="single" w:sz="6" w:color="E2DCE8"/>
              <w:left w:val="nil"/>
              <w:right w:val="nil"/>
            </w:tcBorders>
            <w:tcMar>
              <w:top w:w="70" w:type="dxa"/>
              <w:bottom w:w="70" w:type="dxa"/>
              <w:left w:w="60" w:type="dxa"/>
              <w:right w:w="90" w:type="dxa"/>
            </w:tcMar>
            <w:vAlign w:val="top"/>
          </w:tcPr>
          <w:p>
            <w:pPr>
              <w:spacing w:before="0" w:after="0" w:line="240" w:lineRule="auto"/>
            </w:pPr>
            <w:r>
              <w:rPr>
                <w:rFonts w:ascii="Nunito" w:hAnsi="Nunito"/>
                <w:color w:val="3D3545"/>
                <w:sz w:val="18"/>
              </w:rPr>
              <w:t xml:space="preserve">Official turnaround timelines — the maximum days for RSA perusal before escalation triggers. Our working assumption of 7 days is a placeholder pending confirmation</w:t>
            </w:r>
          </w:p>
        </w:tc>
      </w:tr>
    </w:tbl>
    <w:p>
      <w:pPr>
        <w:spacing w:before="280" w:after="60" w:line="260" w:lineRule="auto"/>
      </w:pPr>
      <w:r>
        <w:rPr>
          <w:rFonts w:ascii="Cormorant Garamond" w:hAnsi="Cormorant Garamond"/>
          <w:color w:val="1B1949"/>
          <w:sz w:val="30"/>
        </w:rPr>
        <w:t xml:space="preserve">8. Team &amp; equipment</w:t>
      </w:r>
    </w:p>
    <w:tbl>
      <w:tblPr>
        <w:tblW w:w="9840" w:type="dxa"/>
        <w:tblLayout w:type="fixed"/>
        <w:tblBorders>
          <w:top w:val="nil"/>
          <w:bottom w:val="nil"/>
          <w:left w:val="nil"/>
          <w:right w:val="nil"/>
          <w:insideH w:val="nil"/>
          <w:insideV w:val="nil"/>
        </w:tblBorders>
      </w:tblPr>
      <w:tblGrid>
        <w:gridCol w:w="4920"/>
        <w:gridCol w:w="4920"/>
      </w:tblGrid>
      <w:tr>
        <w:trPr>
          <w:cantSplit/>
        </w:trPr>
        <w:tc>
          <w:tcPr>
            <w:tcW w:w="4920" w:type="dxa"/>
            <w:tcBorders>
              <w:top w:val="nil" w:sz="6" w:color="E2DCE8"/>
              <w:bottom w:val="single" w:sz="14" w:color="1B1949"/>
              <w:left w:val="nil"/>
              <w:right w:val="nil"/>
            </w:tcBorders>
            <w:tcMar>
              <w:top w:w="70" w:type="dxa"/>
              <w:bottom w:w="70" w:type="dxa"/>
              <w:left w:w="60" w:type="dxa"/>
              <w:right w:w="90" w:type="dxa"/>
            </w:tcMar>
            <w:vAlign w:val="top"/>
          </w:tcPr>
          <w:p>
            <w:pPr>
              <w:spacing w:before="0" w:after="0" w:line="240" w:lineRule="auto"/>
            </w:pPr>
            <w:r>
              <w:rPr>
                <w:rFonts w:ascii="Nunito" w:hAnsi="Nunito"/>
                <w:b/>
                <w:caps/>
                <w:color w:val="1B1949"/>
                <w:sz w:val="15"/>
                <w:spacing w:val="22"/>
              </w:rPr>
              <w:t xml:space="preserve">Human resources</w:t>
            </w:r>
          </w:p>
        </w:tc>
        <w:tc>
          <w:tcPr>
            <w:tcW w:w="4920" w:type="dxa"/>
            <w:tcBorders>
              <w:top w:val="nil" w:sz="6" w:color="E2DCE8"/>
              <w:bottom w:val="single" w:sz="14" w:color="1B1949"/>
              <w:left w:val="nil"/>
              <w:right w:val="nil"/>
            </w:tcBorders>
            <w:tcMar>
              <w:top w:w="70" w:type="dxa"/>
              <w:bottom w:w="70" w:type="dxa"/>
              <w:left w:w="60" w:type="dxa"/>
              <w:right w:w="90" w:type="dxa"/>
            </w:tcMar>
            <w:vAlign w:val="top"/>
          </w:tcPr>
          <w:p>
            <w:pPr>
              <w:spacing w:before="0" w:after="0" w:line="240" w:lineRule="auto"/>
            </w:pPr>
            <w:r>
              <w:rPr>
                <w:rFonts w:ascii="Nunito" w:hAnsi="Nunito"/>
                <w:b/>
                <w:caps/>
                <w:color w:val="870C71"/>
                <w:sz w:val="15"/>
                <w:spacing w:val="22"/>
              </w:rPr>
              <w:t xml:space="preserve">Technical equipment</w:t>
            </w:r>
          </w:p>
        </w:tc>
      </w:tr>
      <w:tr>
        <w:trPr>
          <w:cantSplit/>
        </w:trPr>
        <w:tc>
          <w:tcPr>
            <w:tcW w:w="4920" w:type="dxa"/>
            <w:tcBorders>
              <w:top w:val="nil" w:sz="6" w:color="E2DCE8"/>
              <w:bottom w:val="single" w:sz="6" w:color="E2DCE8"/>
              <w:left w:val="nil"/>
              <w:right w:val="nil"/>
            </w:tcBorders>
            <w:tcMar>
              <w:top w:w="70" w:type="dxa"/>
              <w:bottom w:w="70" w:type="dxa"/>
              <w:left w:w="60" w:type="dxa"/>
              <w:right w:w="90" w:type="dxa"/>
            </w:tcMar>
            <w:vAlign w:val="top"/>
          </w:tcPr>
          <w:p>
            <w:pPr>
              <w:spacing w:before="0" w:after="0" w:line="240" w:lineRule="auto"/>
            </w:pPr>
            <w:r>
              <w:rPr>
                <w:rFonts w:ascii="Nunito" w:hAnsi="Nunito"/>
                <w:color w:val="3D3545"/>
                <w:sz w:val="18"/>
              </w:rPr>
              <w:t xml:space="preserve">1 × Solution Architect / Lead Presenter — SPOC engagement, domain modelling, architecture, executive presentation</w:t>
            </w:r>
          </w:p>
        </w:tc>
        <w:tc>
          <w:tcPr>
            <w:tcW w:w="4920" w:type="dxa"/>
            <w:tcBorders>
              <w:top w:val="nil" w:sz="6" w:color="E2DCE8"/>
              <w:bottom w:val="single" w:sz="6" w:color="E2DCE8"/>
              <w:left w:val="nil"/>
              <w:right w:val="nil"/>
            </w:tcBorders>
            <w:tcMar>
              <w:top w:w="70" w:type="dxa"/>
              <w:bottom w:w="70" w:type="dxa"/>
              <w:left w:w="60" w:type="dxa"/>
              <w:right w:w="90" w:type="dxa"/>
            </w:tcMar>
            <w:vAlign w:val="top"/>
          </w:tcPr>
          <w:p>
            <w:pPr>
              <w:spacing w:before="0" w:after="0" w:line="240" w:lineRule="auto"/>
            </w:pPr>
            <w:r>
              <w:rPr>
                <w:rFonts w:ascii="Nunito" w:hAnsi="Nunito"/>
                <w:color w:val="3D3545"/>
                <w:sz w:val="18"/>
              </w:rPr>
              <w:t xml:space="preserve">2 × High-performance workstations — local development, database hosting, asynchronous worker execution</w:t>
            </w:r>
          </w:p>
        </w:tc>
      </w:tr>
      <w:tr>
        <w:trPr>
          <w:cantSplit/>
        </w:trPr>
        <w:tc>
          <w:tcPr>
            <w:tcW w:w="4920" w:type="dxa"/>
            <w:tcBorders>
              <w:top w:val="nil" w:sz="6" w:color="E2DCE8"/>
              <w:bottom w:val="single" w:sz="6" w:color="E2DCE8"/>
              <w:left w:val="nil"/>
              <w:right w:val="nil"/>
            </w:tcBorders>
            <w:tcMar>
              <w:top w:w="70" w:type="dxa"/>
              <w:bottom w:w="70" w:type="dxa"/>
              <w:left w:w="60" w:type="dxa"/>
              <w:right w:w="90" w:type="dxa"/>
            </w:tcMar>
            <w:vAlign w:val="top"/>
          </w:tcPr>
          <w:p>
            <w:pPr>
              <w:spacing w:before="0" w:after="0" w:line="240" w:lineRule="auto"/>
            </w:pPr>
            <w:r>
              <w:rPr>
                <w:rFonts w:ascii="Nunito" w:hAnsi="Nunito"/>
                <w:color w:val="3D3545"/>
                <w:sz w:val="18"/>
              </w:rPr>
              <w:t xml:space="preserve">2 × Full-Stack Developers — backend models, escalation state machine, OCR pipeline, frontend interfaces</w:t>
            </w:r>
          </w:p>
        </w:tc>
        <w:tc>
          <w:tcPr>
            <w:tcW w:w="4920" w:type="dxa"/>
            <w:tcBorders>
              <w:top w:val="nil" w:sz="6" w:color="E2DCE8"/>
              <w:bottom w:val="single" w:sz="6" w:color="E2DCE8"/>
              <w:left w:val="nil"/>
              <w:right w:val="nil"/>
            </w:tcBorders>
            <w:tcMar>
              <w:top w:w="70" w:type="dxa"/>
              <w:bottom w:w="70" w:type="dxa"/>
              <w:left w:w="60" w:type="dxa"/>
              <w:right w:w="90" w:type="dxa"/>
            </w:tcMar>
            <w:vAlign w:val="top"/>
          </w:tcPr>
          <w:p>
            <w:pPr>
              <w:spacing w:before="0" w:after="0" w:line="240" w:lineRule="auto"/>
            </w:pPr>
            <w:r>
              <w:rPr>
                <w:rFonts w:ascii="Nunito" w:hAnsi="Nunito"/>
                <w:color w:val="3D3545"/>
                <w:sz w:val="18"/>
              </w:rPr>
              <w:t xml:space="preserve">1 × Portable high-speed document scanner — live paper-to-OCR demonstration during the presentation</w:t>
            </w:r>
          </w:p>
        </w:tc>
      </w:tr>
      <w:tr>
        <w:trPr>
          <w:cantSplit/>
        </w:trPr>
        <w:tc>
          <w:tcPr>
            <w:tcW w:w="4920" w:type="dxa"/>
            <w:tcBorders>
              <w:top w:val="nil" w:sz="6" w:color="E2DCE8"/>
              <w:bottom w:val="single" w:sz="6" w:color="E2DCE8"/>
              <w:left w:val="nil"/>
              <w:right w:val="nil"/>
            </w:tcBorders>
            <w:tcMar>
              <w:top w:w="70" w:type="dxa"/>
              <w:bottom w:w="70" w:type="dxa"/>
              <w:left w:w="60" w:type="dxa"/>
              <w:right w:w="90" w:type="dxa"/>
            </w:tcMar>
            <w:vAlign w:val="top"/>
          </w:tcPr>
          <w:p>
            <w:pPr>
              <w:spacing w:before="0" w:after="0" w:line="240" w:lineRule="auto"/>
            </w:pPr>
            <w:r>
              <w:rPr>
                <w:rFonts w:ascii="Nunito" w:hAnsi="Nunito"/>
                <w:color w:val="3D3545"/>
                <w:sz w:val="18"/>
              </w:rPr>
              <w:t xml:space="preserve">1 × Legal / Domain Advisor — legal terminology, statutory SLA windows, procedural compliance review</w:t>
            </w:r>
          </w:p>
        </w:tc>
        <w:tc>
          <w:tcPr>
            <w:tcW w:w="4920" w:type="dxa"/>
            <w:tcBorders>
              <w:top w:val="nil" w:sz="6" w:color="E2DCE8"/>
              <w:bottom w:val="single" w:sz="6" w:color="E2DCE8"/>
              <w:left w:val="nil"/>
              <w:right w:val="nil"/>
            </w:tcBorders>
            <w:tcMar>
              <w:top w:w="70" w:type="dxa"/>
              <w:bottom w:w="70" w:type="dxa"/>
              <w:left w:w="60" w:type="dxa"/>
              <w:right w:w="90" w:type="dxa"/>
            </w:tcMar>
            <w:vAlign w:val="top"/>
          </w:tcPr>
          <w:p>
            <w:pPr>
              <w:spacing w:before="0" w:after="0" w:line="240" w:lineRule="auto"/>
            </w:pPr>
            <w:r>
              <w:rPr>
                <w:rFonts w:ascii="Nunito" w:hAnsi="Nunito"/>
                <w:color w:val="3D3545"/>
                <w:sz w:val="18"/>
              </w:rPr>
              <w:t xml:space="preserve">1 × Staging server environment — fully isolated, offline-capable demonstration stack</w:t>
            </w:r>
          </w:p>
        </w:tc>
      </w:tr>
    </w:tbl>
    <w:p>
      <w:pPr>
        <w:spacing w:before="280" w:after="60" w:line="260" w:lineRule="auto"/>
      </w:pPr>
      <w:r>
        <w:rPr>
          <w:rFonts w:ascii="Cormorant Garamond" w:hAnsi="Cormorant Garamond"/>
          <w:color w:val="1B1949"/>
          <w:sz w:val="30"/>
        </w:rPr>
        <w:t xml:space="preserve">9. Assumptions &amp; dependencies</w:t>
      </w:r>
    </w:p>
    <w:p>
      <w:pPr>
        <w:spacing w:before="0" w:after="60" w:line="260" w:lineRule="auto"/>
        <w:ind w:left="240" w:hanging="0"/>
      </w:pPr>
      <w:r>
        <w:rPr>
          <w:rFonts w:ascii="Nunito" w:hAnsi="Nunito"/>
          <w:b/>
          <w:color w:val="870C71"/>
          <w:sz w:val="20"/>
        </w:rPr>
        <w:t xml:space="preserve">•   </w:t>
      </w:r>
      <w:r>
        <w:rPr>
          <w:rFonts w:ascii="Nunito" w:hAnsi="Nunito"/>
          <w:color w:val="3D3545"/>
          <w:sz w:val="20"/>
        </w:rPr>
        <w:t xml:space="preserve">A named SPOC is confirmed before Day 1 and is available for a 30-minute structured interview within the first 72 hours.</w:t>
      </w:r>
    </w:p>
    <w:p>
      <w:pPr>
        <w:spacing w:before="0" w:after="60" w:line="260" w:lineRule="auto"/>
        <w:ind w:left="240" w:hanging="0"/>
      </w:pPr>
      <w:r>
        <w:rPr>
          <w:rFonts w:ascii="Nunito" w:hAnsi="Nunito"/>
          <w:b/>
          <w:color w:val="870C71"/>
          <w:sz w:val="20"/>
        </w:rPr>
        <w:t xml:space="preserve">•   </w:t>
      </w:r>
      <w:r>
        <w:rPr>
          <w:rFonts w:ascii="Nunito" w:hAnsi="Nunito"/>
          <w:color w:val="3D3545"/>
          <w:sz w:val="20"/>
        </w:rPr>
        <w:t xml:space="preserve">The statutory SLA window is confirmed by the Directorate; the 7-day figure used throughout is a working assumption.</w:t>
      </w:r>
    </w:p>
    <w:p>
      <w:pPr>
        <w:spacing w:before="0" w:after="60" w:line="260" w:lineRule="auto"/>
        <w:ind w:left="240" w:hanging="0"/>
      </w:pPr>
      <w:r>
        <w:rPr>
          <w:rFonts w:ascii="Nunito" w:hAnsi="Nunito"/>
          <w:b/>
          <w:color w:val="870C71"/>
          <w:sz w:val="20"/>
        </w:rPr>
        <w:t xml:space="preserve">•   </w:t>
      </w:r>
      <w:r>
        <w:rPr>
          <w:rFonts w:ascii="Nunito" w:hAnsi="Nunito"/>
          <w:color w:val="3D3545"/>
          <w:sz w:val="20"/>
        </w:rPr>
        <w:t xml:space="preserve">The Proof of Concept runs on our own equipment and requires no ODPP network access, credentials, or production data.</w:t>
      </w:r>
    </w:p>
    <w:p>
      <w:pPr>
        <w:spacing w:before="0" w:after="60" w:line="260" w:lineRule="auto"/>
        <w:ind w:left="240" w:hanging="0"/>
      </w:pPr>
      <w:r>
        <w:rPr>
          <w:rFonts w:ascii="Nunito" w:hAnsi="Nunito"/>
          <w:b/>
          <w:color w:val="870C71"/>
          <w:sz w:val="20"/>
        </w:rPr>
        <w:t xml:space="preserve">•   </w:t>
      </w:r>
      <w:r>
        <w:rPr>
          <w:rFonts w:ascii="Nunito" w:hAnsi="Nunito"/>
          <w:color w:val="3D3545"/>
          <w:sz w:val="20"/>
        </w:rPr>
        <w:t xml:space="preserve">Sample dockets are provided redacted. No unredacted case material is handled at any point during the PoC.</w:t>
      </w:r>
    </w:p>
    <w:p>
      <w:pPr>
        <w:spacing w:before="0" w:after="60" w:line="260" w:lineRule="auto"/>
        <w:ind w:left="240" w:hanging="0"/>
      </w:pPr>
      <w:r>
        <w:rPr>
          <w:rFonts w:ascii="Nunito" w:hAnsi="Nunito"/>
          <w:b/>
          <w:color w:val="870C71"/>
          <w:sz w:val="20"/>
        </w:rPr>
        <w:t xml:space="preserve">•   </w:t>
      </w:r>
      <w:r>
        <w:rPr>
          <w:rFonts w:ascii="Nunito" w:hAnsi="Nunito"/>
          <w:color w:val="3D3545"/>
          <w:sz w:val="20"/>
        </w:rPr>
        <w:t xml:space="preserve">Production hosting location — on-premises at JLOS House or within government cloud — is a decision for the ICT Directorate and is priced separately.</w:t>
      </w:r>
    </w:p>
    <w:p>
      <w:pPr>
        <w:spacing w:before="280" w:after="60" w:line="260" w:lineRule="auto"/>
      </w:pPr>
      <w:r>
        <w:rPr>
          <w:rFonts w:ascii="Cormorant Garamond" w:hAnsi="Cormorant Garamond"/>
          <w:color w:val="1B1949"/>
          <w:sz w:val="30"/>
        </w:rPr>
        <w:t xml:space="preserve">10. Approval</w:t>
      </w:r>
    </w:p>
    <w:p>
      <w:pPr>
        <w:spacing w:before="0" w:after="140" w:line="260" w:lineRule="auto"/>
      </w:pPr>
      <w:r>
        <w:rPr>
          <w:rFonts w:ascii="Nunito" w:hAnsi="Nunito"/>
          <w:color w:val="3D3545"/>
          <w:sz w:val="20"/>
        </w:rPr>
        <w:t xml:space="preserve">Countersignature below constitutes agreement to the scope, engagement model and access arrangements set out in this document, and authorises commencement of the Days 1–3 discovery window.</w:t>
      </w:r>
    </w:p>
    <w:tbl>
      <w:tblPr>
        <w:tblW w:w="9840" w:type="dxa"/>
        <w:tblLayout w:type="fixed"/>
        <w:tblBorders>
          <w:top w:val="nil"/>
          <w:bottom w:val="nil"/>
          <w:left w:val="nil"/>
          <w:right w:val="nil"/>
          <w:insideH w:val="nil"/>
          <w:insideV w:val="nil"/>
        </w:tblBorders>
      </w:tblPr>
      <w:tblGrid>
        <w:gridCol w:w="4920"/>
        <w:gridCol w:w="4920"/>
      </w:tblGrid>
      <w:tr>
        <w:trPr>
          <w:cantSplit/>
        </w:trPr>
        <w:tc>
          <w:tcPr>
            <w:tcW w:w="4920" w:type="dxa"/>
            <w:tcBorders>
              <w:top w:val="nil" w:sz="6" w:color="E2DCE8"/>
              <w:bottom w:val="single" w:sz="12" w:color="1B1949"/>
              <w:left w:val="nil"/>
              <w:right w:val="nil"/>
            </w:tcBorders>
            <w:tcMar>
              <w:top w:w="70" w:type="dxa"/>
              <w:bottom w:w="70" w:type="dxa"/>
              <w:left w:w="60" w:type="dxa"/>
              <w:right w:w="90" w:type="dxa"/>
            </w:tcMar>
            <w:vAlign w:val="top"/>
          </w:tcPr>
          <w:p>
            <w:pPr>
              <w:spacing w:before="0" w:after="0" w:line="240" w:lineRule="auto"/>
            </w:pPr>
            <w:r>
              <w:rPr>
                <w:rFonts w:ascii="Nunito" w:hAnsi="Nunito"/>
                <w:color w:val="3D3545"/>
                <w:sz w:val="18"/>
              </w:rPr>
              <w:t xml:space="preserve"> </w:t>
            </w:r>
          </w:p>
        </w:tc>
        <w:tc>
          <w:tcPr>
            <w:tcW w:w="4920" w:type="dxa"/>
            <w:tcBorders>
              <w:top w:val="nil" w:sz="6" w:color="E2DCE8"/>
              <w:bottom w:val="single" w:sz="12" w:color="1B1949"/>
              <w:left w:val="nil"/>
              <w:right w:val="nil"/>
            </w:tcBorders>
            <w:tcMar>
              <w:top w:w="70" w:type="dxa"/>
              <w:bottom w:w="70" w:type="dxa"/>
              <w:left w:w="60" w:type="dxa"/>
              <w:right w:w="90" w:type="dxa"/>
            </w:tcMar>
            <w:vAlign w:val="top"/>
          </w:tcPr>
          <w:p>
            <w:pPr>
              <w:spacing w:before="0" w:after="0" w:line="240" w:lineRule="auto"/>
            </w:pPr>
            <w:r>
              <w:rPr>
                <w:rFonts w:ascii="Nunito" w:hAnsi="Nunito"/>
                <w:color w:val="3D3545"/>
                <w:sz w:val="18"/>
              </w:rPr>
              <w:t xml:space="preserve"> </w:t>
            </w:r>
          </w:p>
        </w:tc>
      </w:tr>
      <w:tr>
        <w:trPr>
          <w:cantSplit/>
        </w:trPr>
        <w:tc>
          <w:tcPr>
            <w:tcW w:w="4920" w:type="dxa"/>
            <w:tcBorders>
              <w:top w:val="nil" w:sz="6" w:color="E2DCE8"/>
              <w:bottom w:val="nil" w:sz="6" w:color="E2DCE8"/>
              <w:left w:val="nil"/>
              <w:right w:val="nil"/>
            </w:tcBorders>
            <w:tcMar>
              <w:top w:w="70" w:type="dxa"/>
              <w:bottom w:w="70" w:type="dxa"/>
              <w:left w:w="60" w:type="dxa"/>
              <w:right w:w="90" w:type="dxa"/>
            </w:tcMar>
            <w:vAlign w:val="top"/>
          </w:tcPr>
          <w:p>
            <w:pPr>
              <w:spacing w:before="0" w:after="0" w:line="240" w:lineRule="auto"/>
            </w:pPr>
            <w:r>
              <w:rPr>
                <w:rFonts w:ascii="Nunito" w:hAnsi="Nunito"/>
                <w:color w:val="6B6070"/>
                <w:sz w:val="17"/>
              </w:rPr>
              <w:t xml:space="preserve">For the Office of the Director of Public Prosecutions</w:t>
            </w:r>
          </w:p>
        </w:tc>
        <w:tc>
          <w:tcPr>
            <w:tcW w:w="4920" w:type="dxa"/>
            <w:tcBorders>
              <w:top w:val="nil" w:sz="6" w:color="E2DCE8"/>
              <w:bottom w:val="nil" w:sz="6" w:color="E2DCE8"/>
              <w:left w:val="nil"/>
              <w:right w:val="nil"/>
            </w:tcBorders>
            <w:tcMar>
              <w:top w:w="70" w:type="dxa"/>
              <w:bottom w:w="70" w:type="dxa"/>
              <w:left w:w="60" w:type="dxa"/>
              <w:right w:w="90" w:type="dxa"/>
            </w:tcMar>
            <w:vAlign w:val="top"/>
          </w:tcPr>
          <w:p>
            <w:pPr>
              <w:spacing w:before="0" w:after="0" w:line="240" w:lineRule="auto"/>
            </w:pPr>
            <w:r>
              <w:rPr>
                <w:rFonts w:ascii="Nunito" w:hAnsi="Nunito"/>
                <w:color w:val="6B6070"/>
                <w:sz w:val="17"/>
              </w:rPr>
              <w:t xml:space="preserve">For Nova Generation Technologies &amp; Sprint Uganda Limited</w:t>
            </w:r>
          </w:p>
        </w:tc>
      </w:tr>
      <w:tr>
        <w:trPr>
          <w:cantSplit/>
        </w:trPr>
        <w:tc>
          <w:tcPr>
            <w:tcW w:w="4920" w:type="dxa"/>
            <w:tcBorders>
              <w:top w:val="nil" w:sz="6" w:color="E2DCE8"/>
              <w:bottom w:val="nil" w:sz="6" w:color="E2DCE8"/>
              <w:left w:val="nil"/>
              <w:right w:val="nil"/>
            </w:tcBorders>
            <w:tcMar>
              <w:top w:w="70" w:type="dxa"/>
              <w:bottom w:w="70" w:type="dxa"/>
              <w:left w:w="60" w:type="dxa"/>
              <w:right w:w="90" w:type="dxa"/>
            </w:tcMar>
            <w:vAlign w:val="top"/>
          </w:tcPr>
          <w:p>
            <w:pPr>
              <w:spacing w:before="0" w:after="0" w:line="240" w:lineRule="auto"/>
            </w:pPr>
            <w:r>
              <w:rPr>
                <w:rFonts w:ascii="Nunito" w:hAnsi="Nunito"/>
                <w:b/>
                <w:caps/>
                <w:color w:val="1B1949"/>
                <w:sz w:val="15"/>
                <w:spacing w:val="22"/>
              </w:rPr>
              <w:t xml:space="preserve">Name · Title · Date</w:t>
            </w:r>
          </w:p>
        </w:tc>
        <w:tc>
          <w:tcPr>
            <w:tcW w:w="4920" w:type="dxa"/>
            <w:tcBorders>
              <w:top w:val="nil" w:sz="6" w:color="E2DCE8"/>
              <w:bottom w:val="nil" w:sz="6" w:color="E2DCE8"/>
              <w:left w:val="nil"/>
              <w:right w:val="nil"/>
            </w:tcBorders>
            <w:tcMar>
              <w:top w:w="70" w:type="dxa"/>
              <w:bottom w:w="70" w:type="dxa"/>
              <w:left w:w="60" w:type="dxa"/>
              <w:right w:w="90" w:type="dxa"/>
            </w:tcMar>
            <w:vAlign w:val="top"/>
          </w:tcPr>
          <w:p>
            <w:pPr>
              <w:spacing w:before="0" w:after="0" w:line="240" w:lineRule="auto"/>
            </w:pPr>
            <w:r>
              <w:rPr>
                <w:rFonts w:ascii="Nunito" w:hAnsi="Nunito"/>
                <w:b/>
                <w:caps/>
                <w:color w:val="1B1949"/>
                <w:sz w:val="15"/>
                <w:spacing w:val="22"/>
              </w:rPr>
              <w:t xml:space="preserve">Name · Title · Date</w:t>
            </w:r>
          </w:p>
        </w:tc>
      </w:tr>
    </w:tbl>
    <w:p>
      <w:pPr>
        <w:spacing w:before="280" w:after="120" w:line="260" w:lineRule="auto"/>
      </w:pPr>
      <w:r>
        <w:rPr>
          <w:rFonts w:ascii="Nunito" w:hAnsi="Nunito"/>
          <w:color w:val="6B6070"/>
          <w:sz w:val="15"/>
        </w:rPr>
        <w:t xml:space="preserve">Bandali Rise, Studio House, Level 4, Kampala · +256 741 004 466 · info@novageneration.tech</w:t>
      </w:r>
    </w:p>
    <w:sectPr>
      <w:pgSz w:w="12240" w:h="15840"/>
      <w:pgMar w:top="1080" w:right="1080" w:bottom="1080" w:left="1080" w:header="0" w:footer="0" w:gutter="0"/>
    </w:sectPr>
  </w:body>
</w:document>
</file>

<file path=word/styles.xml><?xml version="1.0" encoding="utf-8"?>
<w:styles xmlns:w="http://schemas.openxmlformats.org/wordprocessingml/2006/main">
  <w:docDefaults>
    <w:rPrDefault>
      <w:rPr>
        <w:rFonts w:ascii="Nunito" w:hAnsi="Nunito"/>
        <w:sz w:val="20"/>
        <w:color w:val="3D3545"/>
      </w:rPr>
    </w:rPrDefault>
    <w:pPrDefault>
      <w:pPr>
        <w:spacing w:after="120" w:line="260" w:lineRule="auto"/>
      </w:pPr>
    </w:pPrDefault>
  </w:docDefaults>
  <w:style w:type="paragraph" w:default="1" w:styleId="Normal">
    <w:name w:val="Normal"/>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

<file path=docProps/core.xml><?xml version="1.0" encoding="utf-8"?>
<cp:coreProperties xmlns:cp="http://schemas.openxmlformats.org/package/2006/metadata/core-properties" xmlns:dc="http://purl.org/dc/elements/1.1/">
  <dc:title>ODPP Complaints Management &amp; File Lifecycle System — Proposal</dc:title>
  <dc:creator>Nova Generation Technologies</dc:creator>
</cp:coreProperties>
</file>